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F399F" w14:textId="77777777" w:rsidR="00B4038A" w:rsidRPr="008D1868" w:rsidRDefault="00B4038A" w:rsidP="00B4038A">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Pr>
          <w:rFonts w:cs="Arial"/>
          <w:b/>
          <w:sz w:val="22"/>
          <w:szCs w:val="22"/>
          <w:lang w:val="en-US"/>
        </w:rPr>
        <w:t>4</w:t>
      </w:r>
      <w:r w:rsidRPr="008D1868">
        <w:rPr>
          <w:rFonts w:cs="Arial"/>
          <w:b/>
          <w:sz w:val="22"/>
          <w:szCs w:val="22"/>
          <w:lang w:val="en-US"/>
        </w:rPr>
        <w:t>-e</w:t>
      </w:r>
      <w:r w:rsidRPr="008D1868">
        <w:rPr>
          <w:rFonts w:cs="Arial"/>
          <w:b/>
          <w:i/>
          <w:sz w:val="22"/>
          <w:szCs w:val="22"/>
          <w:lang w:val="en-US"/>
        </w:rPr>
        <w:tab/>
      </w:r>
      <w:r w:rsidRPr="00877EE8">
        <w:rPr>
          <w:rFonts w:cs="Arial"/>
          <w:b/>
          <w:i/>
          <w:sz w:val="22"/>
          <w:szCs w:val="22"/>
          <w:lang w:val="en-US" w:eastAsia="zh-CN"/>
        </w:rPr>
        <w:t>R2-</w:t>
      </w:r>
      <w:r w:rsidRPr="00886C5E">
        <w:rPr>
          <w:rFonts w:cs="Arial"/>
          <w:b/>
          <w:i/>
          <w:sz w:val="22"/>
          <w:szCs w:val="22"/>
          <w:lang w:val="en-US" w:eastAsia="zh-CN"/>
        </w:rPr>
        <w:t>2104769</w:t>
      </w:r>
    </w:p>
    <w:p w14:paraId="29628EE3" w14:textId="77777777" w:rsidR="00B4038A" w:rsidRDefault="00B4038A" w:rsidP="00B4038A">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Pr>
          <w:rFonts w:cs="Arial"/>
          <w:b/>
          <w:sz w:val="22"/>
          <w:szCs w:val="22"/>
          <w:lang w:val="en-US"/>
        </w:rPr>
        <w:t>May</w:t>
      </w:r>
      <w:r w:rsidRPr="008D1868">
        <w:rPr>
          <w:rFonts w:cs="Arial"/>
          <w:b/>
          <w:sz w:val="22"/>
          <w:szCs w:val="22"/>
          <w:lang w:val="en-US"/>
        </w:rPr>
        <w:t xml:space="preserve"> 202</w:t>
      </w:r>
      <w:r>
        <w:rPr>
          <w:rFonts w:cs="Arial"/>
          <w:b/>
          <w:sz w:val="22"/>
          <w:szCs w:val="22"/>
          <w:lang w:val="en-US"/>
        </w:rPr>
        <w:t>1</w:t>
      </w:r>
      <w:r>
        <w:rPr>
          <w:rFonts w:cs="Arial"/>
          <w:b/>
          <w:sz w:val="22"/>
          <w:szCs w:val="22"/>
          <w:lang w:val="en-US"/>
        </w:rPr>
        <w:tab/>
      </w:r>
      <w:bookmarkEnd w:id="0"/>
      <w:bookmarkEnd w:id="1"/>
      <w:bookmarkEnd w:id="2"/>
      <w:bookmarkEnd w:id="3"/>
    </w:p>
    <w:p w14:paraId="45105356" w14:textId="77777777" w:rsidR="00B4038A" w:rsidRDefault="00B4038A" w:rsidP="00B4038A">
      <w:pPr>
        <w:tabs>
          <w:tab w:val="left" w:pos="1701"/>
          <w:tab w:val="right" w:pos="9639"/>
        </w:tabs>
        <w:spacing w:before="100" w:beforeAutospacing="1" w:after="100" w:afterAutospacing="1"/>
        <w:rPr>
          <w:rFonts w:cs="Arial"/>
          <w:b/>
          <w:color w:val="000000"/>
          <w:kern w:val="2"/>
          <w:sz w:val="24"/>
        </w:rPr>
      </w:pPr>
      <w:bookmarkStart w:id="4" w:name="_GoBack"/>
      <w:bookmarkEnd w:id="4"/>
    </w:p>
    <w:p w14:paraId="1E59DEEA" w14:textId="77777777" w:rsidR="00B4038A" w:rsidRDefault="00B4038A" w:rsidP="00B4038A">
      <w:pPr>
        <w:pStyle w:val="3GPPHeader"/>
        <w:rPr>
          <w:sz w:val="22"/>
          <w:szCs w:val="22"/>
        </w:rPr>
      </w:pPr>
      <w:r w:rsidRPr="000575E5">
        <w:rPr>
          <w:sz w:val="22"/>
          <w:szCs w:val="22"/>
        </w:rPr>
        <w:t>Agenda Item:</w:t>
      </w:r>
      <w:r w:rsidRPr="000575E5">
        <w:rPr>
          <w:sz w:val="22"/>
          <w:szCs w:val="22"/>
        </w:rPr>
        <w:tab/>
      </w:r>
      <w:r w:rsidRPr="00267A95">
        <w:rPr>
          <w:sz w:val="22"/>
          <w:szCs w:val="22"/>
        </w:rPr>
        <w:t>8.15.2</w:t>
      </w:r>
    </w:p>
    <w:p w14:paraId="78C97439" w14:textId="77777777" w:rsidR="00B4038A" w:rsidRDefault="00B4038A" w:rsidP="00B4038A">
      <w:pPr>
        <w:pStyle w:val="3GPPHeader"/>
        <w:rPr>
          <w:sz w:val="22"/>
          <w:szCs w:val="22"/>
        </w:rPr>
      </w:pPr>
      <w:r>
        <w:rPr>
          <w:sz w:val="22"/>
          <w:szCs w:val="22"/>
        </w:rPr>
        <w:t>Source:</w:t>
      </w:r>
      <w:r>
        <w:rPr>
          <w:sz w:val="22"/>
          <w:szCs w:val="22"/>
        </w:rPr>
        <w:tab/>
      </w:r>
      <w:r>
        <w:rPr>
          <w:rFonts w:hint="eastAsia"/>
          <w:sz w:val="22"/>
          <w:szCs w:val="22"/>
        </w:rPr>
        <w:t>OPPO</w:t>
      </w:r>
    </w:p>
    <w:p w14:paraId="637C97E8" w14:textId="77777777" w:rsidR="00B4038A" w:rsidRDefault="00B4038A" w:rsidP="00B4038A">
      <w:pPr>
        <w:pStyle w:val="3GPPHeader"/>
        <w:rPr>
          <w:sz w:val="22"/>
          <w:szCs w:val="22"/>
        </w:rPr>
      </w:pPr>
      <w:r>
        <w:rPr>
          <w:sz w:val="22"/>
          <w:szCs w:val="22"/>
        </w:rPr>
        <w:t>Title:</w:t>
      </w:r>
      <w:r>
        <w:rPr>
          <w:sz w:val="22"/>
          <w:szCs w:val="22"/>
        </w:rPr>
        <w:tab/>
        <w:t xml:space="preserve">Discussion on network involvement for SL related DRX </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1"/>
      </w:pPr>
      <w:bookmarkStart w:id="5" w:name="_Ref488331639"/>
      <w:r>
        <w:t>Introduction</w:t>
      </w:r>
      <w:bookmarkEnd w:id="5"/>
    </w:p>
    <w:p w14:paraId="46A86A1A" w14:textId="77777777" w:rsidR="00F361FF" w:rsidRDefault="00B4038A" w:rsidP="00B4038A">
      <w:pPr>
        <w:pStyle w:val="ac"/>
        <w:spacing w:before="120"/>
        <w:rPr>
          <w:rFonts w:cs="Arial"/>
        </w:rPr>
      </w:pPr>
      <w:bookmarkStart w:id="6" w:name="_Ref178064866"/>
      <w:r>
        <w:rPr>
          <w:rFonts w:cs="Arial"/>
        </w:rPr>
        <w:t>This paper is to discuss the network involvement for SL related DRX</w:t>
      </w:r>
      <w:r w:rsidR="00884F84">
        <w:rPr>
          <w:rFonts w:cs="Arial"/>
        </w:rPr>
        <w:t xml:space="preserve"> </w:t>
      </w:r>
      <w:r w:rsidR="00884F84">
        <w:rPr>
          <w:rFonts w:cs="Arial" w:hint="eastAsia"/>
        </w:rPr>
        <w:t>which</w:t>
      </w:r>
      <w:r w:rsidR="00884F84">
        <w:rPr>
          <w:rFonts w:cs="Arial"/>
        </w:rPr>
        <w:t xml:space="preserve"> includes </w:t>
      </w:r>
    </w:p>
    <w:p w14:paraId="2031913C" w14:textId="3D1BBCB7" w:rsidR="00F361FF" w:rsidRDefault="00F361FF" w:rsidP="00F361FF">
      <w:pPr>
        <w:pStyle w:val="ac"/>
        <w:numPr>
          <w:ilvl w:val="0"/>
          <w:numId w:val="60"/>
        </w:numPr>
        <w:spacing w:before="120"/>
        <w:rPr>
          <w:rFonts w:cs="Arial"/>
        </w:rPr>
      </w:pPr>
      <w:r>
        <w:rPr>
          <w:rFonts w:cs="Arial"/>
        </w:rPr>
        <w:t>T</w:t>
      </w:r>
      <w:r w:rsidR="00884F84">
        <w:rPr>
          <w:rFonts w:cs="Arial"/>
        </w:rPr>
        <w:t>he Uu DRX impact to support SL transmission</w:t>
      </w:r>
      <w:r>
        <w:rPr>
          <w:rFonts w:cs="Arial" w:hint="eastAsia"/>
        </w:rPr>
        <w:t>；</w:t>
      </w:r>
    </w:p>
    <w:p w14:paraId="64418136" w14:textId="14A8D4A8" w:rsidR="005B51BD" w:rsidRDefault="00F361FF" w:rsidP="005B51BD">
      <w:pPr>
        <w:pStyle w:val="ac"/>
        <w:numPr>
          <w:ilvl w:val="0"/>
          <w:numId w:val="60"/>
        </w:numPr>
        <w:spacing w:before="120"/>
        <w:rPr>
          <w:rFonts w:cs="Arial"/>
        </w:rPr>
      </w:pPr>
      <w:r>
        <w:rPr>
          <w:rFonts w:cs="Arial"/>
        </w:rPr>
        <w:t>T</w:t>
      </w:r>
      <w:r w:rsidR="00884F84">
        <w:rPr>
          <w:rFonts w:cs="Arial"/>
        </w:rPr>
        <w:t>he alignment between Uu DRX and SL DRX</w:t>
      </w:r>
      <w:r w:rsidR="00B4038A">
        <w:rPr>
          <w:rFonts w:cs="Arial"/>
        </w:rPr>
        <w:t>.</w:t>
      </w:r>
    </w:p>
    <w:tbl>
      <w:tblPr>
        <w:tblStyle w:val="afc"/>
        <w:tblW w:w="0" w:type="auto"/>
        <w:tblLook w:val="04A0" w:firstRow="1" w:lastRow="0" w:firstColumn="1" w:lastColumn="0" w:noHBand="0" w:noVBand="1"/>
      </w:tblPr>
      <w:tblGrid>
        <w:gridCol w:w="9629"/>
      </w:tblGrid>
      <w:tr w:rsidR="005B51BD" w14:paraId="7946AF10" w14:textId="77777777" w:rsidTr="005B51BD">
        <w:tc>
          <w:tcPr>
            <w:tcW w:w="9629" w:type="dxa"/>
          </w:tcPr>
          <w:p w14:paraId="5A57E706" w14:textId="209167C0" w:rsidR="005B51BD" w:rsidRDefault="005B51BD" w:rsidP="005B51BD">
            <w:pPr>
              <w:pStyle w:val="ac"/>
              <w:spacing w:before="120"/>
              <w:rPr>
                <w:rFonts w:cs="Arial"/>
              </w:rPr>
            </w:pPr>
            <w:r w:rsidRPr="005B51BD">
              <w:rPr>
                <w:rFonts w:cs="Arial"/>
              </w:rPr>
              <w:t xml:space="preserve">9: </w:t>
            </w:r>
            <w:r w:rsidRPr="005B51BD">
              <w:rPr>
                <w:rFonts w:cs="Arial"/>
              </w:rPr>
              <w:tab/>
            </w:r>
            <w:r w:rsidRPr="005B51BD">
              <w:rPr>
                <w:rFonts w:cs="Arial"/>
                <w:highlight w:val="green"/>
              </w:rPr>
              <w:t>In mode 1, when in RRC_CONNECTED</w:t>
            </w:r>
            <w:r w:rsidRPr="005B51BD">
              <w:rPr>
                <w:rFonts w:cs="Arial"/>
              </w:rPr>
              <w:t xml:space="preserve">, if DRX is configured, the MAC entity </w:t>
            </w:r>
            <w:r w:rsidRPr="005B51BD">
              <w:rPr>
                <w:rFonts w:cs="Arial"/>
                <w:highlight w:val="green"/>
              </w:rPr>
              <w:t>monitors the PDCCH</w:t>
            </w:r>
            <w:r w:rsidRPr="005B51BD">
              <w:rPr>
                <w:rFonts w:cs="Arial"/>
              </w:rPr>
              <w:t xml:space="preserve"> for the MAC entity's SL-RNTI, SLCS-RNTI and SL Semi-Persistent Scheduling V-RNTI in Uu DRX Active Time. MAC entity does not need to monitor the PDCCH for the MAC entity's SL-RNTI, SLCS-RNTI and SL Semi-Persistent Scheduling V-RNTI </w:t>
            </w:r>
            <w:r w:rsidRPr="005B51BD">
              <w:rPr>
                <w:rFonts w:cs="Arial"/>
                <w:highlight w:val="green"/>
              </w:rPr>
              <w:t>in Uu DRX in-active Time</w:t>
            </w:r>
            <w:r w:rsidRPr="005B51BD">
              <w:rPr>
                <w:rFonts w:cs="Arial"/>
              </w:rPr>
              <w:t>.</w:t>
            </w:r>
          </w:p>
        </w:tc>
      </w:tr>
    </w:tbl>
    <w:p w14:paraId="2BF2DBD1" w14:textId="77777777" w:rsidR="005B51BD" w:rsidRPr="005B51BD" w:rsidRDefault="005B51BD" w:rsidP="005B51BD">
      <w:pPr>
        <w:pStyle w:val="ac"/>
        <w:spacing w:before="120"/>
        <w:rPr>
          <w:rFonts w:cs="Arial"/>
        </w:rPr>
      </w:pPr>
    </w:p>
    <w:tbl>
      <w:tblPr>
        <w:tblStyle w:val="afc"/>
        <w:tblW w:w="0" w:type="auto"/>
        <w:tblLook w:val="04A0" w:firstRow="1" w:lastRow="0" w:firstColumn="1" w:lastColumn="0" w:noHBand="0" w:noVBand="1"/>
      </w:tblPr>
      <w:tblGrid>
        <w:gridCol w:w="9629"/>
      </w:tblGrid>
      <w:tr w:rsidR="005B51BD" w14:paraId="6C66F23C" w14:textId="77777777" w:rsidTr="005B51BD">
        <w:tc>
          <w:tcPr>
            <w:tcW w:w="9629" w:type="dxa"/>
          </w:tcPr>
          <w:p w14:paraId="2E517D3A" w14:textId="77777777" w:rsidR="005B51BD" w:rsidRPr="007F6E5F" w:rsidRDefault="005B51BD" w:rsidP="005B51BD">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073DE753" w14:textId="77777777" w:rsidR="005B51BD" w:rsidRDefault="005B51BD" w:rsidP="005B51BD">
            <w:pPr>
              <w:numPr>
                <w:ilvl w:val="0"/>
                <w:numId w:val="22"/>
              </w:numPr>
              <w:spacing w:after="180"/>
              <w:jc w:val="left"/>
              <w:rPr>
                <w:lang w:eastAsia="ko-KR"/>
              </w:rPr>
            </w:pPr>
            <w:r w:rsidRPr="007F6E5F">
              <w:rPr>
                <w:lang w:eastAsia="ko-KR"/>
              </w:rPr>
              <w:t>Define on- and off-durations in sidelink and specify the corresponding</w:t>
            </w:r>
            <w:r>
              <w:rPr>
                <w:lang w:eastAsia="ko-KR"/>
              </w:rPr>
              <w:t xml:space="preserve"> UE procedure</w:t>
            </w:r>
          </w:p>
          <w:p w14:paraId="6CE0190A" w14:textId="77777777" w:rsidR="005B51BD" w:rsidRDefault="005B51BD" w:rsidP="005B51BD">
            <w:pPr>
              <w:numPr>
                <w:ilvl w:val="0"/>
                <w:numId w:val="22"/>
              </w:numPr>
              <w:spacing w:after="180"/>
              <w:jc w:val="left"/>
              <w:rPr>
                <w:lang w:eastAsia="ko-KR"/>
              </w:rPr>
            </w:pPr>
            <w:r w:rsidRPr="00EE65B4">
              <w:rPr>
                <w:lang w:eastAsia="ko-KR"/>
              </w:rPr>
              <w:t>Specify mechanism aiming to align sidelink DRX wake-up time among the UEs communicating with each other</w:t>
            </w:r>
          </w:p>
          <w:p w14:paraId="52DC66F7" w14:textId="40D1565A" w:rsidR="005B51BD" w:rsidRDefault="005B51BD" w:rsidP="005B51BD">
            <w:pPr>
              <w:numPr>
                <w:ilvl w:val="0"/>
                <w:numId w:val="22"/>
              </w:numPr>
              <w:spacing w:after="180"/>
              <w:jc w:val="left"/>
              <w:rPr>
                <w:lang w:eastAsia="ko-KR"/>
              </w:rPr>
            </w:pPr>
            <w:r w:rsidRPr="005B51BD">
              <w:rPr>
                <w:highlight w:val="green"/>
                <w:lang w:eastAsia="ko-KR"/>
              </w:rPr>
              <w:t>Specify mechanism aiming to align sidelink DRX wake-up time with Uu DRX wake-up time in an in-coverage UE</w:t>
            </w:r>
          </w:p>
        </w:tc>
      </w:tr>
    </w:tbl>
    <w:p w14:paraId="58F18B1B" w14:textId="77777777" w:rsidR="005B51BD" w:rsidRDefault="005B51BD" w:rsidP="005B51BD">
      <w:pPr>
        <w:rPr>
          <w:lang w:eastAsia="ko-KR"/>
        </w:rPr>
      </w:pPr>
    </w:p>
    <w:bookmarkEnd w:id="6"/>
    <w:p w14:paraId="2247FD95" w14:textId="77777777" w:rsidR="00B4038A" w:rsidRDefault="00B4038A" w:rsidP="00B4038A">
      <w:pPr>
        <w:pStyle w:val="1"/>
      </w:pPr>
      <w:r>
        <w:t>Discussion</w:t>
      </w:r>
    </w:p>
    <w:p w14:paraId="3ED80E20" w14:textId="5C6066BE" w:rsidR="00B4038A" w:rsidRDefault="00B4038A" w:rsidP="00B4038A">
      <w:pPr>
        <w:pStyle w:val="2"/>
      </w:pPr>
      <w:r>
        <w:t xml:space="preserve">Uu DRX </w:t>
      </w:r>
      <w:r w:rsidR="00F964F6">
        <w:t xml:space="preserve">for </w:t>
      </w:r>
      <w:r>
        <w:t>SL grant monitoring</w:t>
      </w:r>
    </w:p>
    <w:p w14:paraId="01A2C908" w14:textId="77777777" w:rsidR="00B4038A" w:rsidRDefault="00B4038A" w:rsidP="00B4038A">
      <w:r>
        <w:t>In RAN2 113bis-e, the</w:t>
      </w:r>
      <w:r w:rsidRPr="00DF1AC6">
        <w:t xml:space="preserve"> Uu DRX impact to support SL</w:t>
      </w:r>
      <w:r>
        <w:t xml:space="preserve"> has been discussed [1] but not concluded due to limited time. During this offline discussion, the most controversial issue is the</w:t>
      </w:r>
      <w:r w:rsidRPr="00DF1AC6">
        <w:t xml:space="preserve"> </w:t>
      </w:r>
      <w:r>
        <w:t>i</w:t>
      </w:r>
      <w:r w:rsidRPr="00DF1AC6">
        <w:t xml:space="preserve">mpact on the </w:t>
      </w:r>
      <w:r>
        <w:t>SL HARQ</w:t>
      </w:r>
      <w:r w:rsidRPr="00DF1AC6">
        <w:t xml:space="preserve"> </w:t>
      </w:r>
      <w:r>
        <w:t xml:space="preserve">related DRX timers, i.e. the RTT and Retransmission timers </w:t>
      </w:r>
      <w:r w:rsidRPr="00DF1AC6">
        <w:t>in Uu</w:t>
      </w:r>
      <w:r>
        <w:t>.</w:t>
      </w:r>
    </w:p>
    <w:p w14:paraId="5D06DE7E" w14:textId="77777777" w:rsidR="00B4038A" w:rsidRDefault="00B4038A" w:rsidP="00B4038A">
      <w:r>
        <w:t xml:space="preserve">Firstly, whether the </w:t>
      </w:r>
      <w:r w:rsidRPr="00AA76E5">
        <w:t xml:space="preserve">PUCCH </w:t>
      </w:r>
      <w:r>
        <w:t xml:space="preserve">configured or not can be a pre-condition for supporting the RTT timer and Retransmission timer need to be discussed. </w:t>
      </w:r>
    </w:p>
    <w:p w14:paraId="6B927684" w14:textId="77777777" w:rsidR="00B4038A" w:rsidRDefault="00B4038A" w:rsidP="00B4038A">
      <w:r>
        <w:t>There is no definition in any spec that the NW will only schedule a SL retransmission when PUCCH is configured, therefore the retransmission timer is needed any way.</w:t>
      </w:r>
    </w:p>
    <w:p w14:paraId="6CD99D16" w14:textId="758CAE62" w:rsidR="00B4038A" w:rsidRDefault="00B4038A" w:rsidP="00B4038A">
      <w:r>
        <w:t>As for the RTT timer, it’s better to have a unified solution, i.e. also support the RTT timer when PUCCH is not configured and the value</w:t>
      </w:r>
      <w:r w:rsidR="006D4F67">
        <w:t>s</w:t>
      </w:r>
      <w:r>
        <w:t xml:space="preserve"> of the RTT timer </w:t>
      </w:r>
      <w:r w:rsidR="006D4F67">
        <w:t>for different cases (w/ or w/o PUCCH configured) can be different, which can be further discussed</w:t>
      </w:r>
      <w:r>
        <w:t>.</w:t>
      </w:r>
    </w:p>
    <w:p w14:paraId="736C4E00" w14:textId="77777777" w:rsidR="00B4038A" w:rsidRDefault="00B4038A" w:rsidP="00F97C2B">
      <w:pPr>
        <w:pStyle w:val="Observation"/>
        <w:ind w:left="1701" w:hanging="1701"/>
      </w:pPr>
      <w:bookmarkStart w:id="7" w:name="_Toc71205521"/>
      <w:r>
        <w:t>Retransmission timer in Uu DRX for SL grant reception is needed no matter PUCCH is configured or not.</w:t>
      </w:r>
      <w:bookmarkEnd w:id="7"/>
    </w:p>
    <w:p w14:paraId="20B28593" w14:textId="3545382A" w:rsidR="00B4038A" w:rsidRDefault="00B4038A" w:rsidP="00B4038A">
      <w:r>
        <w:lastRenderedPageBreak/>
        <w:t xml:space="preserve">Secondly, if the RTT timer and retransmission timer are supported for the case without PUCCH, the </w:t>
      </w:r>
      <w:r w:rsidR="0094575F">
        <w:t>starting</w:t>
      </w:r>
      <w:r>
        <w:t xml:space="preserve"> point of these two timers should be defined. </w:t>
      </w:r>
    </w:p>
    <w:p w14:paraId="7BBB2BDF" w14:textId="77777777" w:rsidR="00B4038A" w:rsidRDefault="00B4038A" w:rsidP="00B4038A">
      <w:r>
        <w:rPr>
          <w:rFonts w:hint="eastAsia"/>
        </w:rPr>
        <w:t>T</w:t>
      </w:r>
      <w:r>
        <w:t>he difference between SL and Uu is,</w:t>
      </w:r>
    </w:p>
    <w:p w14:paraId="568EF130" w14:textId="77777777" w:rsidR="00B4038A" w:rsidRDefault="00B4038A" w:rsidP="00B4038A">
      <w:pPr>
        <w:pStyle w:val="af7"/>
        <w:numPr>
          <w:ilvl w:val="0"/>
          <w:numId w:val="23"/>
        </w:numPr>
        <w:contextualSpacing w:val="0"/>
      </w:pPr>
      <w:r>
        <w:t>For DL, the RTT timer is started after PUCCH, since there is no re-transmission scheduling expected before PUCCH from PHY perspective;</w:t>
      </w:r>
    </w:p>
    <w:p w14:paraId="44C79CEC" w14:textId="77777777" w:rsidR="00B4038A" w:rsidRPr="003D58B9" w:rsidRDefault="00B4038A" w:rsidP="00B4038A">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ko-KR"/>
        </w:rPr>
      </w:pPr>
      <w:r w:rsidRPr="003D58B9">
        <w:rPr>
          <w:rFonts w:ascii="Times New Roman" w:eastAsia="Times New Roman" w:hAnsi="Times New Roman"/>
          <w:noProof/>
          <w:lang w:eastAsia="ko-KR"/>
        </w:rPr>
        <w:t>2&gt;</w:t>
      </w:r>
      <w:r w:rsidRPr="003D58B9">
        <w:rPr>
          <w:rFonts w:ascii="Times New Roman" w:eastAsia="Times New Roman" w:hAnsi="Times New Roman"/>
          <w:noProof/>
          <w:lang w:eastAsia="ko-KR"/>
        </w:rPr>
        <w:tab/>
        <w:t xml:space="preserve">start the </w:t>
      </w:r>
      <w:r w:rsidRPr="003D58B9">
        <w:rPr>
          <w:rFonts w:ascii="Times New Roman" w:eastAsia="Times New Roman" w:hAnsi="Times New Roman"/>
          <w:i/>
          <w:noProof/>
          <w:lang w:eastAsia="ko-KR"/>
        </w:rPr>
        <w:t>drx-HARQ-RTT-TimerDL</w:t>
      </w:r>
      <w:r w:rsidRPr="003D58B9">
        <w:rPr>
          <w:rFonts w:ascii="Times New Roman" w:eastAsia="Times New Roman" w:hAnsi="Times New Roman"/>
          <w:noProof/>
          <w:lang w:eastAsia="ko-KR"/>
        </w:rPr>
        <w:t xml:space="preserve"> for the corresponding HARQ process in the first symbol after the end of the corresponding transmission carrying the DL HARQ feedback;</w:t>
      </w:r>
    </w:p>
    <w:p w14:paraId="38DBE573" w14:textId="77777777" w:rsidR="00B4038A" w:rsidRDefault="00B4038A" w:rsidP="00B4038A">
      <w:pPr>
        <w:pStyle w:val="af7"/>
        <w:numPr>
          <w:ilvl w:val="0"/>
          <w:numId w:val="23"/>
        </w:numPr>
        <w:contextualSpacing w:val="0"/>
      </w:pPr>
      <w:r>
        <w:t>For UL, the RTT timer is started after PUSCH, since there is no re-transmission scheduling expected before PUSCH from PHY perspective;</w:t>
      </w:r>
    </w:p>
    <w:p w14:paraId="400B198F" w14:textId="440600CB" w:rsidR="00B4038A" w:rsidRPr="00925116" w:rsidRDefault="00B4038A" w:rsidP="00925116">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ko-KR"/>
        </w:rPr>
      </w:pPr>
      <w:r w:rsidRPr="003D58B9">
        <w:rPr>
          <w:rFonts w:ascii="Times New Roman" w:eastAsia="Times New Roman" w:hAnsi="Times New Roman"/>
          <w:noProof/>
          <w:lang w:eastAsia="ko-KR"/>
        </w:rPr>
        <w:t>2&gt;</w:t>
      </w:r>
      <w:r w:rsidRPr="003D58B9">
        <w:rPr>
          <w:rFonts w:ascii="Times New Roman" w:eastAsia="Times New Roman" w:hAnsi="Times New Roman"/>
          <w:noProof/>
          <w:lang w:eastAsia="ko-KR"/>
        </w:rPr>
        <w:tab/>
        <w:t xml:space="preserve">start the </w:t>
      </w:r>
      <w:r w:rsidRPr="003D58B9">
        <w:rPr>
          <w:rFonts w:ascii="Times New Roman" w:eastAsia="Times New Roman" w:hAnsi="Times New Roman"/>
          <w:i/>
          <w:noProof/>
          <w:lang w:eastAsia="ko-KR"/>
        </w:rPr>
        <w:t>drx-HARQ-RTT-TimerUL</w:t>
      </w:r>
      <w:r w:rsidRPr="003D58B9">
        <w:rPr>
          <w:rFonts w:ascii="Times New Roman" w:eastAsia="Times New Roman" w:hAnsi="Times New Roman"/>
          <w:noProof/>
          <w:lang w:eastAsia="ko-KR"/>
        </w:rPr>
        <w:t xml:space="preserve"> for the corresponding HARQ process in the first symbol after the end of the first transmission (within a bundle) of the corresponding PUSCH transmission;</w:t>
      </w:r>
    </w:p>
    <w:p w14:paraId="04E05A8B" w14:textId="3D847504" w:rsidR="00B4038A" w:rsidRDefault="00925116" w:rsidP="00B4038A">
      <w:pPr>
        <w:keepNext/>
        <w:jc w:val="center"/>
      </w:pPr>
      <w:r>
        <w:object w:dxaOrig="7921" w:dyaOrig="4395" w14:anchorId="5C173A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pt;height:199.15pt" o:ole="">
            <v:imagedata r:id="rId11" o:title=""/>
          </v:shape>
          <o:OLEObject Type="Embed" ProgID="Visio.Drawing.15" ShapeID="_x0000_i1025" DrawAspect="Content" ObjectID="_1682240710" r:id="rId12"/>
        </w:object>
      </w:r>
    </w:p>
    <w:p w14:paraId="2DFE46F0" w14:textId="77777777" w:rsidR="00B4038A" w:rsidRPr="0060468F" w:rsidRDefault="00B4038A" w:rsidP="00B4038A">
      <w:pPr>
        <w:pStyle w:val="af5"/>
      </w:pPr>
      <w:r>
        <w:t>Figure 1 Scheduling restriction and DRX behaviour for DL and UL</w:t>
      </w:r>
    </w:p>
    <w:p w14:paraId="0EF420C2" w14:textId="77777777" w:rsidR="00B4038A" w:rsidRDefault="00B4038A" w:rsidP="00B4038A">
      <w:r>
        <w:t xml:space="preserve">For SL, if following the same principle, considering there is no re-transmission scheduling timing restriction in PHY spec, it may happen immediately after PDCCH. On the other hand, </w:t>
      </w:r>
    </w:p>
    <w:p w14:paraId="46997576" w14:textId="77777777" w:rsidR="00B4038A" w:rsidRDefault="00B4038A" w:rsidP="00B4038A">
      <w:pPr>
        <w:pStyle w:val="af7"/>
        <w:numPr>
          <w:ilvl w:val="0"/>
          <w:numId w:val="23"/>
        </w:numPr>
        <w:ind w:left="357" w:hanging="357"/>
        <w:contextualSpacing w:val="0"/>
      </w:pPr>
      <w:r>
        <w:t xml:space="preserve">If PUCCH is configured (no matter whether PSFCH is configured), it is more straightforward to wait after PUCCH to use the RTT re-transmission, as shown in the upper part of </w:t>
      </w:r>
      <w:r>
        <w:fldChar w:fldCharType="begin"/>
      </w:r>
      <w:r>
        <w:instrText xml:space="preserve"> REF _Ref51834856 \h </w:instrText>
      </w:r>
      <w:r>
        <w:fldChar w:fldCharType="separate"/>
      </w:r>
      <w:r>
        <w:t xml:space="preserve">Figure </w:t>
      </w:r>
      <w:r>
        <w:rPr>
          <w:noProof/>
        </w:rPr>
        <w:t>1</w:t>
      </w:r>
      <w:r>
        <w:fldChar w:fldCharType="end"/>
      </w:r>
      <w:r>
        <w:t>.</w:t>
      </w:r>
    </w:p>
    <w:p w14:paraId="7023DC48" w14:textId="01607634" w:rsidR="00B4038A" w:rsidRDefault="00B4038A" w:rsidP="00B4038A">
      <w:pPr>
        <w:pStyle w:val="af7"/>
        <w:numPr>
          <w:ilvl w:val="0"/>
          <w:numId w:val="23"/>
        </w:numPr>
        <w:ind w:left="357" w:hanging="357"/>
        <w:contextualSpacing w:val="0"/>
      </w:pPr>
      <w:r>
        <w:rPr>
          <w:rFonts w:hint="eastAsia"/>
        </w:rPr>
        <w:t>If</w:t>
      </w:r>
      <w:r>
        <w:t xml:space="preserve"> PUCCH is not configured, </w:t>
      </w:r>
      <w:r w:rsidR="00EB2442">
        <w:t xml:space="preserve">considering there is no RAN1 restriction on re-transmission scheduling limitation, </w:t>
      </w:r>
      <w:r>
        <w:t xml:space="preserve">start RTT/Re-transmission timer after </w:t>
      </w:r>
      <w:r w:rsidR="00EB2442">
        <w:t xml:space="preserve">PDCCH or </w:t>
      </w:r>
      <w:r>
        <w:t xml:space="preserve">PSSCH </w:t>
      </w:r>
      <w:r w:rsidR="00EB2442">
        <w:t xml:space="preserve">or PSFCH (if configured) </w:t>
      </w:r>
      <w:r w:rsidR="006047B3">
        <w:t>could be</w:t>
      </w:r>
      <w:r>
        <w:t xml:space="preserve"> feasible, as shown in the </w:t>
      </w:r>
      <w:r w:rsidR="00925116">
        <w:t>second</w:t>
      </w:r>
      <w:r>
        <w:t xml:space="preserve"> </w:t>
      </w:r>
      <w:r w:rsidR="00925116">
        <w:t>case</w:t>
      </w:r>
      <w:r>
        <w:t xml:space="preserve"> of </w:t>
      </w:r>
      <w:r>
        <w:fldChar w:fldCharType="begin"/>
      </w:r>
      <w:r>
        <w:instrText xml:space="preserve"> REF _Ref51834856 \h </w:instrText>
      </w:r>
      <w:r>
        <w:fldChar w:fldCharType="separate"/>
      </w:r>
      <w:r>
        <w:t xml:space="preserve">Figure </w:t>
      </w:r>
      <w:r w:rsidR="006A0285">
        <w:rPr>
          <w:noProof/>
        </w:rPr>
        <w:t>2</w:t>
      </w:r>
      <w:r>
        <w:fldChar w:fldCharType="end"/>
      </w:r>
      <w:r>
        <w:t>.</w:t>
      </w:r>
      <w:r w:rsidR="00EB2442">
        <w:t xml:space="preserve"> The core issue is a trade-off between power saving of the UE and additional restriction of the NW scheduling</w:t>
      </w:r>
      <w:r w:rsidR="006047B3">
        <w:t xml:space="preserve">, </w:t>
      </w:r>
      <w:r w:rsidR="0086435A" w:rsidRPr="0086435A">
        <w:t>i.e. if the UE starts the timer after earlier, the UE may be active for a longer duration and NW can be more flexible to schedule a re-transmission, on the contrary, if the UE starts the timer after later, the UE may be active for a shorter duration and there will be more restrictions on NW scheduling(only schedule re-transmission resource after PSFCH/PSSCH).</w:t>
      </w:r>
    </w:p>
    <w:p w14:paraId="2AC6A188" w14:textId="387F67A4" w:rsidR="00B4038A" w:rsidRDefault="00EB2442" w:rsidP="00B4038A">
      <w:pPr>
        <w:keepNext/>
        <w:jc w:val="center"/>
      </w:pPr>
      <w:r>
        <w:object w:dxaOrig="7910" w:dyaOrig="3251" w14:anchorId="0234AA25">
          <v:shape id="_x0000_i1026" type="#_x0000_t75" style="width:339.7pt;height:141.1pt" o:ole="">
            <v:imagedata r:id="rId13" o:title=""/>
          </v:shape>
          <o:OLEObject Type="Embed" ProgID="Visio.Drawing.15" ShapeID="_x0000_i1026" DrawAspect="Content" ObjectID="_1682240711" r:id="rId14"/>
        </w:object>
      </w:r>
    </w:p>
    <w:p w14:paraId="212F9D20" w14:textId="0AB1E980" w:rsidR="00B4038A" w:rsidRPr="005A2A90" w:rsidRDefault="00B4038A" w:rsidP="00B4038A">
      <w:pPr>
        <w:pStyle w:val="af5"/>
      </w:pPr>
      <w:bookmarkStart w:id="8" w:name="_Ref51834856"/>
      <w:r>
        <w:t xml:space="preserve">Figure </w:t>
      </w:r>
      <w:bookmarkEnd w:id="8"/>
      <w:r>
        <w:t>2 Scheduling restriction and DRX behaviour for SL (w/ and w/o PUCCH)</w:t>
      </w:r>
    </w:p>
    <w:p w14:paraId="3AAB8960" w14:textId="77777777" w:rsidR="00B4038A" w:rsidRPr="00B4038A" w:rsidRDefault="00B4038A" w:rsidP="00F97C2B">
      <w:pPr>
        <w:pStyle w:val="Proposal"/>
        <w:ind w:left="1701" w:hanging="1701"/>
      </w:pPr>
      <w:bookmarkStart w:id="9" w:name="_Toc71548423"/>
      <w:r w:rsidRPr="00B4038A">
        <w:rPr>
          <w:rFonts w:hint="eastAsia"/>
        </w:rPr>
        <w:lastRenderedPageBreak/>
        <w:t>If</w:t>
      </w:r>
      <w:r w:rsidRPr="00B4038A">
        <w:t xml:space="preserve"> PUCCH is configured, start SL RTT timer for the corresponding </w:t>
      </w:r>
      <w:r w:rsidRPr="00B4038A">
        <w:rPr>
          <w:rFonts w:hint="eastAsia"/>
        </w:rPr>
        <w:t>SL</w:t>
      </w:r>
      <w:r w:rsidRPr="00B4038A">
        <w:t xml:space="preserve"> HARQ process in the first symbol after the end of the corresponding PUCCH transmission carrying the SL HARQ feedback.</w:t>
      </w:r>
      <w:bookmarkEnd w:id="9"/>
    </w:p>
    <w:p w14:paraId="687EE5FA" w14:textId="444346DA" w:rsidR="004F25C9" w:rsidRDefault="006047B3" w:rsidP="00F97C2B">
      <w:pPr>
        <w:pStyle w:val="Proposal"/>
        <w:ind w:left="1701" w:hanging="1701"/>
      </w:pPr>
      <w:bookmarkStart w:id="10" w:name="_Toc71548424"/>
      <w:r>
        <w:t xml:space="preserve">RAN2 to discuss the start point of </w:t>
      </w:r>
      <w:r w:rsidRPr="00B4038A">
        <w:t xml:space="preserve">SL RTT timer for the corresponding </w:t>
      </w:r>
      <w:r w:rsidRPr="00B4038A">
        <w:rPr>
          <w:rFonts w:hint="eastAsia"/>
        </w:rPr>
        <w:t>SL</w:t>
      </w:r>
      <w:r w:rsidRPr="00B4038A">
        <w:t xml:space="preserve"> HARQ process</w:t>
      </w:r>
      <w:r w:rsidRPr="00B4038A">
        <w:rPr>
          <w:rFonts w:hint="eastAsia"/>
        </w:rPr>
        <w:t xml:space="preserve"> </w:t>
      </w:r>
      <w:r>
        <w:t>i</w:t>
      </w:r>
      <w:r w:rsidR="00B4038A" w:rsidRPr="00B4038A">
        <w:t>f PUCCH is not configured</w:t>
      </w:r>
      <w:r w:rsidR="004F25C9">
        <w:t xml:space="preserve"> </w:t>
      </w:r>
      <w:r w:rsidR="004F25C9">
        <w:rPr>
          <w:rFonts w:hint="eastAsia"/>
        </w:rPr>
        <w:t>b</w:t>
      </w:r>
      <w:r w:rsidR="004F25C9">
        <w:t>ut PSFCH is configured</w:t>
      </w:r>
      <w:r w:rsidR="00F964F6">
        <w:t xml:space="preserve">, </w:t>
      </w:r>
      <w:r w:rsidR="004F25C9">
        <w:t>e.g., in the first symbol after the end of corresponding 1) PSFCH or 2) PSSCH.</w:t>
      </w:r>
      <w:bookmarkEnd w:id="10"/>
    </w:p>
    <w:p w14:paraId="61C1FCEB" w14:textId="19675F59" w:rsidR="00B4038A" w:rsidRPr="00B4038A" w:rsidRDefault="004F25C9" w:rsidP="00F97C2B">
      <w:pPr>
        <w:pStyle w:val="Proposal"/>
        <w:ind w:left="1701" w:hanging="1701"/>
      </w:pPr>
      <w:bookmarkStart w:id="11" w:name="_Toc71548425"/>
      <w:r>
        <w:t xml:space="preserve">If neither PUCCH nor PSFCH is configured, </w:t>
      </w:r>
      <w:r w:rsidR="00925116" w:rsidRPr="00B4038A">
        <w:t xml:space="preserve">start SL RTT timer for the corresponding </w:t>
      </w:r>
      <w:r w:rsidR="00925116" w:rsidRPr="00B4038A">
        <w:rPr>
          <w:rFonts w:hint="eastAsia"/>
        </w:rPr>
        <w:t>SL</w:t>
      </w:r>
      <w:r w:rsidR="00925116" w:rsidRPr="00B4038A">
        <w:t xml:space="preserve"> HARQ process in the first symbol after the corresponding PSSCH</w:t>
      </w:r>
      <w:r w:rsidR="00B4038A" w:rsidRPr="00B4038A">
        <w:t>.</w:t>
      </w:r>
      <w:bookmarkEnd w:id="11"/>
    </w:p>
    <w:p w14:paraId="1B5A878F" w14:textId="77777777" w:rsidR="00B4038A" w:rsidRPr="00B4038A" w:rsidRDefault="00B4038A" w:rsidP="00F97C2B">
      <w:pPr>
        <w:pStyle w:val="Proposal"/>
        <w:ind w:left="1701" w:hanging="1701"/>
      </w:pPr>
      <w:bookmarkStart w:id="12" w:name="_Toc71548426"/>
      <w:r w:rsidRPr="00B4038A">
        <w:rPr>
          <w:rFonts w:hint="eastAsia"/>
        </w:rPr>
        <w:t>S</w:t>
      </w:r>
      <w:r w:rsidRPr="00B4038A">
        <w:t>tart SL retransmission timer for the corresponding SL HARQ process upon the expiry of SL RTT timer, if retransmission is needed.</w:t>
      </w:r>
      <w:bookmarkEnd w:id="12"/>
    </w:p>
    <w:p w14:paraId="7B0F2F32" w14:textId="77777777" w:rsidR="00B4038A" w:rsidRDefault="00B4038A" w:rsidP="00B4038A">
      <w:pPr>
        <w:pStyle w:val="2"/>
      </w:pPr>
      <w:r>
        <w:t>Alignment between Uu DRX and SL DRX</w:t>
      </w:r>
    </w:p>
    <w:p w14:paraId="10927E7D" w14:textId="1AC99F0A" w:rsidR="00B4038A" w:rsidRDefault="00B4038A" w:rsidP="00B4038A">
      <w:r>
        <w:t>In RAN2 113bis-e, there is a</w:t>
      </w:r>
      <w:r w:rsidR="00925116">
        <w:t>n</w:t>
      </w:r>
      <w:r>
        <w:t xml:space="preserve"> offline discussion [2] on the alignment between Uu DRX and SL DRX, following conclusions are made during online discussion:</w:t>
      </w:r>
    </w:p>
    <w:p w14:paraId="5F0B357C" w14:textId="77777777" w:rsidR="00B4038A" w:rsidRPr="005F1AFD" w:rsidRDefault="00B4038A" w:rsidP="00B4038A">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alignment between Uu DRX and SL DRX</w:t>
      </w:r>
    </w:p>
    <w:p w14:paraId="4C0FB91A" w14:textId="77777777" w:rsidR="00B4038A" w:rsidRDefault="00B4038A" w:rsidP="00B4038A">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Alignment of Uu DRX and SL DRX for unicast is supported. FFS on how alignment is achieved.</w:t>
      </w:r>
    </w:p>
    <w:p w14:paraId="123CF93C" w14:textId="77777777" w:rsidR="00B4038A" w:rsidRDefault="00B4038A" w:rsidP="00B4038A">
      <w:pPr>
        <w:pBdr>
          <w:top w:val="single" w:sz="4" w:space="1" w:color="auto"/>
          <w:left w:val="single" w:sz="4" w:space="4" w:color="auto"/>
          <w:bottom w:val="single" w:sz="4" w:space="1" w:color="auto"/>
          <w:right w:val="single" w:sz="4" w:space="4" w:color="auto"/>
        </w:pBdr>
        <w:tabs>
          <w:tab w:val="left" w:pos="1622"/>
        </w:tabs>
        <w:ind w:left="1622" w:hanging="363"/>
      </w:pPr>
      <w:r>
        <w:t>2:</w:t>
      </w:r>
      <w:r>
        <w:tab/>
        <w:t>Alignment of Uu DRX and SL DRX for groupcast and broadcast is supported. FFS on whether new mechanisms are needed.</w:t>
      </w:r>
    </w:p>
    <w:p w14:paraId="48321DA8" w14:textId="77777777" w:rsidR="00B4038A" w:rsidRDefault="00B4038A" w:rsidP="00B4038A">
      <w:pPr>
        <w:pBdr>
          <w:top w:val="single" w:sz="4" w:space="1" w:color="auto"/>
          <w:left w:val="single" w:sz="4" w:space="4" w:color="auto"/>
          <w:bottom w:val="single" w:sz="4" w:space="1" w:color="auto"/>
          <w:right w:val="single" w:sz="4" w:space="4" w:color="auto"/>
        </w:pBdr>
        <w:tabs>
          <w:tab w:val="left" w:pos="1622"/>
        </w:tabs>
        <w:ind w:left="1622" w:hanging="363"/>
      </w:pPr>
      <w:r>
        <w:t>3:</w:t>
      </w:r>
      <w:r>
        <w:tab/>
        <w:t>Alignment of Uu DRX and SL DRX for UE in RRC CONNECTED shall be a baseline.</w:t>
      </w:r>
    </w:p>
    <w:p w14:paraId="45A88BF9" w14:textId="77777777" w:rsidR="00B4038A" w:rsidRDefault="00B4038A" w:rsidP="00B4038A">
      <w:pPr>
        <w:pBdr>
          <w:top w:val="single" w:sz="4" w:space="1" w:color="auto"/>
          <w:left w:val="single" w:sz="4" w:space="4" w:color="auto"/>
          <w:bottom w:val="single" w:sz="4" w:space="1" w:color="auto"/>
          <w:right w:val="single" w:sz="4" w:space="4" w:color="auto"/>
        </w:pBdr>
        <w:tabs>
          <w:tab w:val="left" w:pos="1622"/>
        </w:tabs>
        <w:ind w:left="1622" w:hanging="363"/>
      </w:pPr>
      <w:r>
        <w:t>4:</w:t>
      </w:r>
      <w:r>
        <w:tab/>
        <w:t>The alignment of Uu DRX and SL DRX of the same UE shall be considered.</w:t>
      </w:r>
    </w:p>
    <w:p w14:paraId="6E0EB668" w14:textId="43E6F1D6" w:rsidR="00B4038A" w:rsidRDefault="00B4038A" w:rsidP="00B4038A">
      <w:r>
        <w:t xml:space="preserve">There are some left issues not concluded due to limited time. One is who determines the alignment of Uu DRX and SL DRX. Since the alignment </w:t>
      </w:r>
      <w:r w:rsidRPr="000E0E1E">
        <w:t xml:space="preserve">of Uu DRX and SL DRX </w:t>
      </w:r>
      <w:r>
        <w:t xml:space="preserve">of the same UE is agreed and the alignment </w:t>
      </w:r>
      <w:r w:rsidRPr="000E0E1E">
        <w:t xml:space="preserve">for </w:t>
      </w:r>
      <w:r>
        <w:t xml:space="preserve">CONNECTED </w:t>
      </w:r>
      <w:r w:rsidRPr="000E0E1E">
        <w:t xml:space="preserve">UE </w:t>
      </w:r>
      <w:r>
        <w:t>is concluded</w:t>
      </w:r>
      <w:r w:rsidRPr="000E0E1E">
        <w:t xml:space="preserve"> </w:t>
      </w:r>
      <w:r>
        <w:t>as</w:t>
      </w:r>
      <w:r w:rsidRPr="000E0E1E">
        <w:t xml:space="preserve"> a baseline</w:t>
      </w:r>
      <w:r>
        <w:t>, we can focus the alignment of the same CONNECTED UE scenario first.</w:t>
      </w:r>
    </w:p>
    <w:p w14:paraId="4578A3A6" w14:textId="77777777" w:rsidR="00B4038A" w:rsidRDefault="00B4038A" w:rsidP="00B4038A">
      <w:r>
        <w:t>There are two solutions on the table, whether NW or UE to achieve the alignment.</w:t>
      </w:r>
    </w:p>
    <w:p w14:paraId="402AF87D" w14:textId="77777777" w:rsidR="00B4038A" w:rsidRDefault="00B4038A" w:rsidP="00B4038A">
      <w:r>
        <w:t xml:space="preserve">For GC/BC, </w:t>
      </w:r>
      <w:r w:rsidRPr="00037DA1">
        <w:t>the alignment can only be achieved by the gNB since both the Uu and SL DRX configuration are from NW</w:t>
      </w:r>
      <w:r>
        <w:t>.</w:t>
      </w:r>
    </w:p>
    <w:p w14:paraId="4B8B9D70" w14:textId="4082BC56" w:rsidR="00B4038A" w:rsidRDefault="00B4038A" w:rsidP="00B4038A">
      <w:r>
        <w:t xml:space="preserve">For unicast, the Uu DRX is configured by NW, and considering who </w:t>
      </w:r>
      <w:r w:rsidR="0094575F">
        <w:t>determines</w:t>
      </w:r>
      <w:r>
        <w:t xml:space="preserve"> the SL DRX, the scenario can be further divided into the following cases:</w:t>
      </w:r>
    </w:p>
    <w:tbl>
      <w:tblPr>
        <w:tblStyle w:val="afc"/>
        <w:tblW w:w="9634" w:type="dxa"/>
        <w:tblLook w:val="04A0" w:firstRow="1" w:lastRow="0" w:firstColumn="1" w:lastColumn="0" w:noHBand="0" w:noVBand="1"/>
      </w:tblPr>
      <w:tblGrid>
        <w:gridCol w:w="1838"/>
        <w:gridCol w:w="1559"/>
        <w:gridCol w:w="6237"/>
      </w:tblGrid>
      <w:tr w:rsidR="00B4038A" w14:paraId="517FFD17" w14:textId="77777777" w:rsidTr="00546B1F">
        <w:tc>
          <w:tcPr>
            <w:tcW w:w="1838" w:type="dxa"/>
          </w:tcPr>
          <w:p w14:paraId="4623BD36" w14:textId="723E582C" w:rsidR="00B4038A" w:rsidRDefault="00B4038A" w:rsidP="00546B1F">
            <w:r>
              <w:t xml:space="preserve">NW/UE </w:t>
            </w:r>
            <w:r w:rsidR="0094575F">
              <w:t>determines</w:t>
            </w:r>
            <w:r>
              <w:t xml:space="preserve"> the SL DRX</w:t>
            </w:r>
          </w:p>
        </w:tc>
        <w:tc>
          <w:tcPr>
            <w:tcW w:w="1559" w:type="dxa"/>
          </w:tcPr>
          <w:p w14:paraId="641E8D31" w14:textId="77777777" w:rsidR="00B4038A" w:rsidRDefault="00B4038A" w:rsidP="00546B1F">
            <w:r>
              <w:t>Who achieves the alignment</w:t>
            </w:r>
          </w:p>
        </w:tc>
        <w:tc>
          <w:tcPr>
            <w:tcW w:w="6237" w:type="dxa"/>
          </w:tcPr>
          <w:p w14:paraId="031B8312" w14:textId="77777777" w:rsidR="00B4038A" w:rsidRDefault="00B4038A" w:rsidP="00546B1F">
            <w:r>
              <w:t>How to achieve to alignment</w:t>
            </w:r>
          </w:p>
        </w:tc>
      </w:tr>
      <w:tr w:rsidR="00B4038A" w14:paraId="70304EC3" w14:textId="77777777" w:rsidTr="00546B1F">
        <w:tc>
          <w:tcPr>
            <w:tcW w:w="1838" w:type="dxa"/>
          </w:tcPr>
          <w:p w14:paraId="361D3400" w14:textId="77777777" w:rsidR="00B4038A" w:rsidRDefault="00B4038A" w:rsidP="00546B1F">
            <w:r>
              <w:t>NW</w:t>
            </w:r>
          </w:p>
        </w:tc>
        <w:tc>
          <w:tcPr>
            <w:tcW w:w="1559" w:type="dxa"/>
          </w:tcPr>
          <w:p w14:paraId="1960A9E9" w14:textId="77777777" w:rsidR="00B4038A" w:rsidRDefault="00B4038A" w:rsidP="00546B1F">
            <w:r>
              <w:t>NW</w:t>
            </w:r>
          </w:p>
        </w:tc>
        <w:tc>
          <w:tcPr>
            <w:tcW w:w="6237" w:type="dxa"/>
          </w:tcPr>
          <w:p w14:paraId="2C63152E" w14:textId="77777777" w:rsidR="00B4038A" w:rsidRDefault="00B4038A" w:rsidP="00546B1F">
            <w:r w:rsidRPr="003E7CCF">
              <w:t>Alignment</w:t>
            </w:r>
            <w:r>
              <w:t xml:space="preserve"> can be achieved</w:t>
            </w:r>
            <w:r w:rsidRPr="003E7CCF">
              <w:t xml:space="preserve"> when configuring the SL and Uu DRX configuration</w:t>
            </w:r>
          </w:p>
        </w:tc>
      </w:tr>
      <w:tr w:rsidR="00B4038A" w14:paraId="2E346CF0" w14:textId="77777777" w:rsidTr="00546B1F">
        <w:tc>
          <w:tcPr>
            <w:tcW w:w="1838" w:type="dxa"/>
            <w:vMerge w:val="restart"/>
          </w:tcPr>
          <w:p w14:paraId="084A92DE" w14:textId="77777777" w:rsidR="00B4038A" w:rsidRDefault="00B4038A" w:rsidP="00546B1F">
            <w:r>
              <w:t>UE</w:t>
            </w:r>
          </w:p>
        </w:tc>
        <w:tc>
          <w:tcPr>
            <w:tcW w:w="1559" w:type="dxa"/>
          </w:tcPr>
          <w:p w14:paraId="2FF10439" w14:textId="77777777" w:rsidR="00B4038A" w:rsidRDefault="00B4038A" w:rsidP="00546B1F">
            <w:r>
              <w:t>NW</w:t>
            </w:r>
          </w:p>
        </w:tc>
        <w:tc>
          <w:tcPr>
            <w:tcW w:w="6237" w:type="dxa"/>
          </w:tcPr>
          <w:p w14:paraId="4C3BD3AD" w14:textId="77777777" w:rsidR="00B4038A" w:rsidRDefault="00B4038A" w:rsidP="00546B1F">
            <w:r>
              <w:t>UE reports SL DRX to gNB and gNB adjusts Uu DRX according to SL DRX</w:t>
            </w:r>
          </w:p>
        </w:tc>
      </w:tr>
      <w:tr w:rsidR="00B4038A" w14:paraId="3CFB41B2" w14:textId="77777777" w:rsidTr="00546B1F">
        <w:tc>
          <w:tcPr>
            <w:tcW w:w="1838" w:type="dxa"/>
            <w:vMerge/>
          </w:tcPr>
          <w:p w14:paraId="2C440BE7" w14:textId="77777777" w:rsidR="00B4038A" w:rsidRDefault="00B4038A" w:rsidP="00546B1F"/>
        </w:tc>
        <w:tc>
          <w:tcPr>
            <w:tcW w:w="1559" w:type="dxa"/>
          </w:tcPr>
          <w:p w14:paraId="49897928" w14:textId="77777777" w:rsidR="00B4038A" w:rsidRDefault="00B4038A" w:rsidP="00546B1F">
            <w:r>
              <w:t>UE</w:t>
            </w:r>
          </w:p>
        </w:tc>
        <w:tc>
          <w:tcPr>
            <w:tcW w:w="6237" w:type="dxa"/>
          </w:tcPr>
          <w:p w14:paraId="39F9BE03" w14:textId="77777777" w:rsidR="00B4038A" w:rsidRDefault="00B4038A" w:rsidP="00546B1F">
            <w:r>
              <w:t>UE adjust SL DRX based on Uu DRX</w:t>
            </w:r>
          </w:p>
        </w:tc>
      </w:tr>
    </w:tbl>
    <w:p w14:paraId="0E1423E2" w14:textId="77777777" w:rsidR="00B4038A" w:rsidRDefault="00B4038A" w:rsidP="00B4038A"/>
    <w:p w14:paraId="35B13CE4" w14:textId="77777777" w:rsidR="00B4038A" w:rsidRDefault="00B4038A" w:rsidP="00B4038A">
      <w:r>
        <w:t xml:space="preserve">Therefore, the up to UE solution is only feasible in unicast and UE itself determine the SL DRX scenario. </w:t>
      </w:r>
    </w:p>
    <w:p w14:paraId="6B79BB9C" w14:textId="77777777" w:rsidR="00B4038A" w:rsidRDefault="00B4038A" w:rsidP="00F97C2B">
      <w:pPr>
        <w:pStyle w:val="Observation"/>
        <w:ind w:left="1701" w:hanging="1701"/>
      </w:pPr>
      <w:bookmarkStart w:id="13" w:name="_Toc71205522"/>
      <w:r>
        <w:t>The up-to-NW solution is feasible for all the cases while up-to-UE solution is only feasible in unicast and UE itself determine the SL DRX scenario.</w:t>
      </w:r>
      <w:bookmarkEnd w:id="13"/>
    </w:p>
    <w:p w14:paraId="381F4622" w14:textId="3D0730F5" w:rsidR="00B4038A" w:rsidRDefault="00B4038A" w:rsidP="00B4038A">
      <w:r>
        <w:t xml:space="preserve">Now the </w:t>
      </w:r>
      <w:r w:rsidR="0094575F">
        <w:t>comparison</w:t>
      </w:r>
      <w:r>
        <w:t xml:space="preserve"> is between the up-to-NW solution and up-to-UE solution </w:t>
      </w:r>
      <w:r w:rsidR="00925116">
        <w:t>for</w:t>
      </w:r>
      <w:r>
        <w:t xml:space="preserve"> the </w:t>
      </w:r>
      <w:r w:rsidR="00925116">
        <w:t xml:space="preserve">above </w:t>
      </w:r>
      <w:r>
        <w:t>scenario.</w:t>
      </w:r>
    </w:p>
    <w:p w14:paraId="22D266F0" w14:textId="5E500337" w:rsidR="00B4038A" w:rsidRDefault="00B4038A" w:rsidP="00B4038A">
      <w:pPr>
        <w:pStyle w:val="af7"/>
        <w:numPr>
          <w:ilvl w:val="0"/>
          <w:numId w:val="59"/>
        </w:numPr>
      </w:pPr>
      <w:r>
        <w:t xml:space="preserve">For the up-to-NW solution, the procedure can be </w:t>
      </w:r>
      <w:r w:rsidR="0094575F">
        <w:t>summarised</w:t>
      </w:r>
      <w:r>
        <w:t xml:space="preserve"> as follows:</w:t>
      </w:r>
    </w:p>
    <w:p w14:paraId="7CC3BDD4" w14:textId="77777777" w:rsidR="00B4038A" w:rsidRDefault="00B4038A" w:rsidP="00B4038A">
      <w:pPr>
        <w:jc w:val="center"/>
      </w:pPr>
      <w:r>
        <w:object w:dxaOrig="3860" w:dyaOrig="1890" w14:anchorId="3970063D">
          <v:shape id="_x0000_i1027" type="#_x0000_t75" style="width:195.1pt;height:91.75pt" o:ole="">
            <v:imagedata r:id="rId15" o:title=""/>
          </v:shape>
          <o:OLEObject Type="Embed" ProgID="Mscgen.Chart" ShapeID="_x0000_i1027" DrawAspect="Content" ObjectID="_1682240712" r:id="rId16"/>
        </w:object>
      </w:r>
    </w:p>
    <w:p w14:paraId="7C567A81" w14:textId="77777777" w:rsidR="00B4038A" w:rsidRDefault="00B4038A" w:rsidP="00B4038A">
      <w:pPr>
        <w:pStyle w:val="af5"/>
      </w:pPr>
      <w:r>
        <w:t>Figure 3 procedure of up-to-NW solution</w:t>
      </w:r>
    </w:p>
    <w:p w14:paraId="1CA696E2" w14:textId="6F93C9A7" w:rsidR="00B4038A" w:rsidRDefault="00B4038A" w:rsidP="00B4038A">
      <w:pPr>
        <w:pStyle w:val="af7"/>
        <w:numPr>
          <w:ilvl w:val="0"/>
          <w:numId w:val="59"/>
        </w:numPr>
      </w:pPr>
      <w:r>
        <w:t xml:space="preserve">For the up-to-UE solution, the procedure can be </w:t>
      </w:r>
      <w:r w:rsidR="0094575F">
        <w:t>summarised</w:t>
      </w:r>
      <w:r>
        <w:t xml:space="preserve"> as follows:</w:t>
      </w:r>
    </w:p>
    <w:p w14:paraId="3DF724DB" w14:textId="77777777" w:rsidR="00B4038A" w:rsidRDefault="00B4038A" w:rsidP="00B4038A">
      <w:pPr>
        <w:pStyle w:val="af7"/>
        <w:jc w:val="center"/>
      </w:pPr>
      <w:r>
        <w:object w:dxaOrig="6780" w:dyaOrig="1990" w14:anchorId="19AC1FDE">
          <v:shape id="_x0000_i1028" type="#_x0000_t75" style="width:338.5pt;height:98.15pt" o:ole="">
            <v:imagedata r:id="rId17" o:title=""/>
          </v:shape>
          <o:OLEObject Type="Embed" ProgID="Mscgen.Chart" ShapeID="_x0000_i1028" DrawAspect="Content" ObjectID="_1682240713" r:id="rId18"/>
        </w:object>
      </w:r>
    </w:p>
    <w:p w14:paraId="4D4DCDB5" w14:textId="77777777" w:rsidR="00B4038A" w:rsidRDefault="00B4038A" w:rsidP="00B4038A">
      <w:pPr>
        <w:pStyle w:val="af5"/>
      </w:pPr>
      <w:r>
        <w:t>Figure 4 procedure of up-to-UE solution</w:t>
      </w:r>
    </w:p>
    <w:p w14:paraId="3CD98507" w14:textId="77777777" w:rsidR="00B4038A" w:rsidRDefault="00B4038A" w:rsidP="00B4038A">
      <w:r>
        <w:t xml:space="preserve">As we can see in Fig.3 and Fig.4, even though the up-to-UE solution can work, there will be more signalling exchange between the two UEs communicating with each other and between the UE and its serving gNB. </w:t>
      </w:r>
    </w:p>
    <w:p w14:paraId="7FD12313" w14:textId="3594BE23" w:rsidR="00B4038A" w:rsidRDefault="00B4038A" w:rsidP="00F97C2B">
      <w:pPr>
        <w:pStyle w:val="Observation"/>
        <w:ind w:left="1701" w:hanging="1701"/>
      </w:pPr>
      <w:bookmarkStart w:id="14" w:name="_Toc71205523"/>
      <w:r>
        <w:t xml:space="preserve">Even though the up-to-UE solution can work in </w:t>
      </w:r>
      <w:r w:rsidR="00925116">
        <w:t>a specific scenario</w:t>
      </w:r>
      <w:r>
        <w:t>, it needs more signalling exchange.</w:t>
      </w:r>
      <w:bookmarkEnd w:id="14"/>
    </w:p>
    <w:p w14:paraId="153B7F53" w14:textId="77777777" w:rsidR="00B4038A" w:rsidRPr="005D1350" w:rsidRDefault="00B4038A" w:rsidP="00F97C2B">
      <w:pPr>
        <w:pStyle w:val="Proposal"/>
        <w:ind w:left="1701" w:hanging="1701"/>
      </w:pPr>
      <w:bookmarkStart w:id="15" w:name="_Toc71548427"/>
      <w:r w:rsidRPr="00982BA1">
        <w:t>For UEs in RRC CONNECTED, the alignment of Uu DRX and SL DRX is up to gNB</w:t>
      </w:r>
      <w:r>
        <w:t>.</w:t>
      </w:r>
      <w:bookmarkEnd w:id="15"/>
    </w:p>
    <w:p w14:paraId="26904A87" w14:textId="77777777" w:rsidR="00B4038A" w:rsidRDefault="00B4038A" w:rsidP="00B4038A">
      <w:pPr>
        <w:pStyle w:val="1"/>
      </w:pPr>
      <w:r>
        <w:t>Conclusion</w:t>
      </w:r>
    </w:p>
    <w:p w14:paraId="0887D970" w14:textId="77777777" w:rsidR="00B4038A" w:rsidRDefault="00B4038A" w:rsidP="00B4038A">
      <w:r>
        <w:t>We have the following observations:</w:t>
      </w:r>
    </w:p>
    <w:p w14:paraId="6A127BB0" w14:textId="42017F27" w:rsidR="00925116" w:rsidRDefault="00B4038A">
      <w:pPr>
        <w:pStyle w:val="TOC1"/>
        <w:rPr>
          <w:rFonts w:asciiTheme="minorHAnsi" w:eastAsiaTheme="minorEastAsia" w:hAnsiTheme="minorHAnsi" w:cstheme="minorBidi"/>
          <w:b w:val="0"/>
          <w:noProof/>
          <w:sz w:val="22"/>
        </w:rPr>
      </w:pPr>
      <w:r>
        <w:fldChar w:fldCharType="begin"/>
      </w:r>
      <w:r>
        <w:instrText xml:space="preserve"> TOC \n \p " " \h \z \t "Observation,1" </w:instrText>
      </w:r>
      <w:r>
        <w:fldChar w:fldCharType="separate"/>
      </w:r>
      <w:hyperlink w:anchor="_Toc71205521" w:history="1">
        <w:r w:rsidR="00925116" w:rsidRPr="0021789E">
          <w:rPr>
            <w:rStyle w:val="a5"/>
            <w:noProof/>
          </w:rPr>
          <w:t>Observation 1</w:t>
        </w:r>
        <w:r w:rsidR="00925116">
          <w:rPr>
            <w:rFonts w:asciiTheme="minorHAnsi" w:eastAsiaTheme="minorEastAsia" w:hAnsiTheme="minorHAnsi" w:cstheme="minorBidi"/>
            <w:b w:val="0"/>
            <w:noProof/>
            <w:sz w:val="22"/>
          </w:rPr>
          <w:tab/>
        </w:r>
        <w:r w:rsidR="00925116" w:rsidRPr="0021789E">
          <w:rPr>
            <w:rStyle w:val="a5"/>
            <w:noProof/>
          </w:rPr>
          <w:t>Retransmission timer in Uu DRX for SL grant reception is needed no matter PUCCH is configured or not.</w:t>
        </w:r>
      </w:hyperlink>
    </w:p>
    <w:p w14:paraId="62200FF6" w14:textId="634B00E4" w:rsidR="00925116" w:rsidRDefault="00EA743A">
      <w:pPr>
        <w:pStyle w:val="TOC1"/>
        <w:rPr>
          <w:rFonts w:asciiTheme="minorHAnsi" w:eastAsiaTheme="minorEastAsia" w:hAnsiTheme="minorHAnsi" w:cstheme="minorBidi"/>
          <w:b w:val="0"/>
          <w:noProof/>
          <w:sz w:val="22"/>
        </w:rPr>
      </w:pPr>
      <w:hyperlink w:anchor="_Toc71205522" w:history="1">
        <w:r w:rsidR="00925116" w:rsidRPr="0021789E">
          <w:rPr>
            <w:rStyle w:val="a5"/>
            <w:noProof/>
          </w:rPr>
          <w:t>Observation 2</w:t>
        </w:r>
        <w:r w:rsidR="00925116">
          <w:rPr>
            <w:rFonts w:asciiTheme="minorHAnsi" w:eastAsiaTheme="minorEastAsia" w:hAnsiTheme="minorHAnsi" w:cstheme="minorBidi"/>
            <w:b w:val="0"/>
            <w:noProof/>
            <w:sz w:val="22"/>
          </w:rPr>
          <w:tab/>
        </w:r>
        <w:r w:rsidR="00925116" w:rsidRPr="0021789E">
          <w:rPr>
            <w:rStyle w:val="a5"/>
            <w:noProof/>
          </w:rPr>
          <w:t>The up-to-NW solution is feasible for all the cases while up-to-UE solution is only feasible in unicast and UE itself determine the SL DRX scenario.</w:t>
        </w:r>
      </w:hyperlink>
    </w:p>
    <w:p w14:paraId="03114855" w14:textId="4F5ED01F" w:rsidR="00925116" w:rsidRDefault="00EA743A">
      <w:pPr>
        <w:pStyle w:val="TOC1"/>
        <w:rPr>
          <w:rFonts w:asciiTheme="minorHAnsi" w:eastAsiaTheme="minorEastAsia" w:hAnsiTheme="minorHAnsi" w:cstheme="minorBidi"/>
          <w:b w:val="0"/>
          <w:noProof/>
          <w:sz w:val="22"/>
        </w:rPr>
      </w:pPr>
      <w:hyperlink w:anchor="_Toc71205523" w:history="1">
        <w:r w:rsidR="00925116" w:rsidRPr="0021789E">
          <w:rPr>
            <w:rStyle w:val="a5"/>
            <w:noProof/>
          </w:rPr>
          <w:t>Observation 3</w:t>
        </w:r>
        <w:r w:rsidR="00925116">
          <w:rPr>
            <w:rFonts w:asciiTheme="minorHAnsi" w:eastAsiaTheme="minorEastAsia" w:hAnsiTheme="minorHAnsi" w:cstheme="minorBidi"/>
            <w:b w:val="0"/>
            <w:noProof/>
            <w:sz w:val="22"/>
          </w:rPr>
          <w:tab/>
        </w:r>
        <w:r w:rsidR="00925116" w:rsidRPr="0021789E">
          <w:rPr>
            <w:rStyle w:val="a5"/>
            <w:noProof/>
          </w:rPr>
          <w:t>Even though the up-to-UE solution can work in a specific scenario, it needs more signalling exchange.</w:t>
        </w:r>
      </w:hyperlink>
    </w:p>
    <w:p w14:paraId="1BFF2B31" w14:textId="676007A7" w:rsidR="00B4038A" w:rsidRPr="003F49A2" w:rsidRDefault="00B4038A" w:rsidP="00B4038A">
      <w:r>
        <w:fldChar w:fldCharType="end"/>
      </w:r>
    </w:p>
    <w:p w14:paraId="2728C600" w14:textId="77777777" w:rsidR="00B4038A" w:rsidRDefault="00B4038A" w:rsidP="00B4038A">
      <w:r>
        <w:t>We have the following proposals:</w:t>
      </w:r>
    </w:p>
    <w:p w14:paraId="34ADFB7E" w14:textId="67552FD0" w:rsidR="00F964F6" w:rsidRDefault="00B4038A">
      <w:pPr>
        <w:pStyle w:val="TOC1"/>
        <w:rPr>
          <w:rFonts w:asciiTheme="minorHAnsi" w:eastAsiaTheme="minorEastAsia" w:hAnsiTheme="minorHAnsi" w:cstheme="minorBidi"/>
          <w:b w:val="0"/>
          <w:noProof/>
          <w:sz w:val="22"/>
        </w:rPr>
      </w:pPr>
      <w:r>
        <w:fldChar w:fldCharType="begin"/>
      </w:r>
      <w:r>
        <w:instrText xml:space="preserve"> TOC \n \h \z \t "Proposal,1" </w:instrText>
      </w:r>
      <w:r>
        <w:fldChar w:fldCharType="separate"/>
      </w:r>
      <w:hyperlink w:anchor="_Toc71548423" w:history="1">
        <w:r w:rsidR="00F964F6" w:rsidRPr="00777A3A">
          <w:rPr>
            <w:rStyle w:val="a5"/>
            <w:noProof/>
          </w:rPr>
          <w:t>Proposal 1</w:t>
        </w:r>
        <w:r w:rsidR="00F964F6">
          <w:rPr>
            <w:rFonts w:asciiTheme="minorHAnsi" w:eastAsiaTheme="minorEastAsia" w:hAnsiTheme="minorHAnsi" w:cstheme="minorBidi"/>
            <w:b w:val="0"/>
            <w:noProof/>
            <w:sz w:val="22"/>
          </w:rPr>
          <w:tab/>
        </w:r>
        <w:r w:rsidR="00F964F6" w:rsidRPr="00777A3A">
          <w:rPr>
            <w:rStyle w:val="a5"/>
            <w:noProof/>
          </w:rPr>
          <w:t>If PUCCH is configured, start SL RTT timer for the corresponding SL HARQ process in the first symbol after the end of the corresponding PUCCH transmission carrying the SL HARQ feedback.</w:t>
        </w:r>
      </w:hyperlink>
    </w:p>
    <w:p w14:paraId="1195E200" w14:textId="1D218E6A" w:rsidR="00F964F6" w:rsidRDefault="00F964F6">
      <w:pPr>
        <w:pStyle w:val="TOC1"/>
        <w:rPr>
          <w:rFonts w:asciiTheme="minorHAnsi" w:eastAsiaTheme="minorEastAsia" w:hAnsiTheme="minorHAnsi" w:cstheme="minorBidi"/>
          <w:b w:val="0"/>
          <w:noProof/>
          <w:sz w:val="22"/>
        </w:rPr>
      </w:pPr>
      <w:hyperlink w:anchor="_Toc71548424" w:history="1">
        <w:r w:rsidRPr="00777A3A">
          <w:rPr>
            <w:rStyle w:val="a5"/>
            <w:noProof/>
          </w:rPr>
          <w:t>Proposal 2</w:t>
        </w:r>
        <w:r>
          <w:rPr>
            <w:rFonts w:asciiTheme="minorHAnsi" w:eastAsiaTheme="minorEastAsia" w:hAnsiTheme="minorHAnsi" w:cstheme="minorBidi"/>
            <w:b w:val="0"/>
            <w:noProof/>
            <w:sz w:val="22"/>
          </w:rPr>
          <w:tab/>
        </w:r>
        <w:r w:rsidRPr="00777A3A">
          <w:rPr>
            <w:rStyle w:val="a5"/>
            <w:noProof/>
          </w:rPr>
          <w:t>RAN2 to discuss the start point of SL RTT timer for the corresponding SL HARQ process if PUCCH is not configured but PSFCH is configurede.g., in the first symbol after the end of corresponding 1) PSFCH or 2) PSSCH.</w:t>
        </w:r>
      </w:hyperlink>
    </w:p>
    <w:p w14:paraId="3E0BC994" w14:textId="4CFA9086" w:rsidR="00F964F6" w:rsidRDefault="00F964F6">
      <w:pPr>
        <w:pStyle w:val="TOC1"/>
        <w:rPr>
          <w:rFonts w:asciiTheme="minorHAnsi" w:eastAsiaTheme="minorEastAsia" w:hAnsiTheme="minorHAnsi" w:cstheme="minorBidi"/>
          <w:b w:val="0"/>
          <w:noProof/>
          <w:sz w:val="22"/>
        </w:rPr>
      </w:pPr>
      <w:hyperlink w:anchor="_Toc71548425" w:history="1">
        <w:r w:rsidRPr="00777A3A">
          <w:rPr>
            <w:rStyle w:val="a5"/>
            <w:noProof/>
          </w:rPr>
          <w:t>Proposal 3</w:t>
        </w:r>
        <w:r>
          <w:rPr>
            <w:rFonts w:asciiTheme="minorHAnsi" w:eastAsiaTheme="minorEastAsia" w:hAnsiTheme="minorHAnsi" w:cstheme="minorBidi"/>
            <w:b w:val="0"/>
            <w:noProof/>
            <w:sz w:val="22"/>
          </w:rPr>
          <w:tab/>
        </w:r>
        <w:r w:rsidRPr="00777A3A">
          <w:rPr>
            <w:rStyle w:val="a5"/>
            <w:noProof/>
          </w:rPr>
          <w:t>If neither PUCCH nor PSFCH is configured, start SL RTT timer for the corresponding SL HARQ process in the first symbol after the corresponding PSSCH.</w:t>
        </w:r>
      </w:hyperlink>
    </w:p>
    <w:p w14:paraId="654119B7" w14:textId="386A6F7D" w:rsidR="00F964F6" w:rsidRDefault="00F964F6">
      <w:pPr>
        <w:pStyle w:val="TOC1"/>
        <w:rPr>
          <w:rFonts w:asciiTheme="minorHAnsi" w:eastAsiaTheme="minorEastAsia" w:hAnsiTheme="minorHAnsi" w:cstheme="minorBidi"/>
          <w:b w:val="0"/>
          <w:noProof/>
          <w:sz w:val="22"/>
        </w:rPr>
      </w:pPr>
      <w:hyperlink w:anchor="_Toc71548426" w:history="1">
        <w:r w:rsidRPr="00777A3A">
          <w:rPr>
            <w:rStyle w:val="a5"/>
            <w:noProof/>
          </w:rPr>
          <w:t>Proposal 4</w:t>
        </w:r>
        <w:r>
          <w:rPr>
            <w:rFonts w:asciiTheme="minorHAnsi" w:eastAsiaTheme="minorEastAsia" w:hAnsiTheme="minorHAnsi" w:cstheme="minorBidi"/>
            <w:b w:val="0"/>
            <w:noProof/>
            <w:sz w:val="22"/>
          </w:rPr>
          <w:tab/>
        </w:r>
        <w:r w:rsidRPr="00777A3A">
          <w:rPr>
            <w:rStyle w:val="a5"/>
            <w:noProof/>
          </w:rPr>
          <w:t>Start SL retransmission timer for the corresponding SL HARQ process upon the expiry of SL RTT timer, if retransmission is needed.</w:t>
        </w:r>
      </w:hyperlink>
    </w:p>
    <w:p w14:paraId="0D84715A" w14:textId="5226DF7A" w:rsidR="00F964F6" w:rsidRDefault="00F964F6">
      <w:pPr>
        <w:pStyle w:val="TOC1"/>
        <w:rPr>
          <w:rFonts w:asciiTheme="minorHAnsi" w:eastAsiaTheme="minorEastAsia" w:hAnsiTheme="minorHAnsi" w:cstheme="minorBidi"/>
          <w:b w:val="0"/>
          <w:noProof/>
          <w:sz w:val="22"/>
        </w:rPr>
      </w:pPr>
      <w:hyperlink w:anchor="_Toc71548427" w:history="1">
        <w:r w:rsidRPr="00777A3A">
          <w:rPr>
            <w:rStyle w:val="a5"/>
            <w:noProof/>
          </w:rPr>
          <w:t>Proposal 5</w:t>
        </w:r>
        <w:r>
          <w:rPr>
            <w:rFonts w:asciiTheme="minorHAnsi" w:eastAsiaTheme="minorEastAsia" w:hAnsiTheme="minorHAnsi" w:cstheme="minorBidi"/>
            <w:b w:val="0"/>
            <w:noProof/>
            <w:sz w:val="22"/>
          </w:rPr>
          <w:tab/>
        </w:r>
        <w:r w:rsidRPr="00777A3A">
          <w:rPr>
            <w:rStyle w:val="a5"/>
            <w:noProof/>
          </w:rPr>
          <w:t>For UEs in RRC CONNECTED, the alignment of Uu DRX and SL DRX is up to gNB.</w:t>
        </w:r>
      </w:hyperlink>
    </w:p>
    <w:p w14:paraId="1BF9FBC8" w14:textId="3C865CD4" w:rsidR="00B4038A" w:rsidRDefault="00B4038A" w:rsidP="00B4038A">
      <w:r>
        <w:fldChar w:fldCharType="end"/>
      </w:r>
    </w:p>
    <w:p w14:paraId="603CE46C" w14:textId="77777777" w:rsidR="00B4038A" w:rsidRDefault="00B4038A" w:rsidP="00B4038A">
      <w:pPr>
        <w:rPr>
          <w:b/>
          <w:bCs/>
        </w:rPr>
      </w:pPr>
    </w:p>
    <w:p w14:paraId="1B13E8FD" w14:textId="77777777" w:rsidR="00B4038A" w:rsidRDefault="00B4038A" w:rsidP="00B4038A">
      <w:pPr>
        <w:pStyle w:val="1"/>
      </w:pPr>
      <w:bookmarkStart w:id="16" w:name="_In-sequence_SDU_delivery"/>
      <w:bookmarkStart w:id="17" w:name="_Ref189809556"/>
      <w:bookmarkStart w:id="18" w:name="_Ref174151459"/>
      <w:bookmarkStart w:id="19" w:name="_Ref450865335"/>
      <w:bookmarkEnd w:id="16"/>
      <w:r>
        <w:rPr>
          <w:rFonts w:hint="eastAsia"/>
        </w:rPr>
        <w:lastRenderedPageBreak/>
        <w:t>Reference</w:t>
      </w:r>
      <w:bookmarkEnd w:id="17"/>
      <w:bookmarkEnd w:id="18"/>
      <w:bookmarkEnd w:id="19"/>
    </w:p>
    <w:p w14:paraId="65DDFF02" w14:textId="2D77F258" w:rsidR="00B4038A" w:rsidRDefault="00925116" w:rsidP="00B4038A">
      <w:pPr>
        <w:numPr>
          <w:ilvl w:val="0"/>
          <w:numId w:val="12"/>
        </w:numPr>
        <w:rPr>
          <w:lang w:val="en-US"/>
        </w:rPr>
      </w:pPr>
      <w:bookmarkStart w:id="20" w:name="_Ref32829969"/>
      <w:r w:rsidRPr="00925116">
        <w:rPr>
          <w:lang w:val="en-US"/>
        </w:rPr>
        <w:t xml:space="preserve">R2-2104473 </w:t>
      </w:r>
      <w:r>
        <w:rPr>
          <w:lang w:val="en-US"/>
        </w:rPr>
        <w:t>[</w:t>
      </w:r>
      <w:r w:rsidRPr="00925116">
        <w:rPr>
          <w:lang w:val="en-US"/>
        </w:rPr>
        <w:t>AT113bis-e</w:t>
      </w:r>
      <w:r>
        <w:rPr>
          <w:lang w:val="en-US"/>
        </w:rPr>
        <w:t>][</w:t>
      </w:r>
      <w:r w:rsidRPr="00925116">
        <w:rPr>
          <w:lang w:val="en-US"/>
        </w:rPr>
        <w:t>707</w:t>
      </w:r>
      <w:r>
        <w:rPr>
          <w:lang w:val="en-US"/>
        </w:rPr>
        <w:t>]</w:t>
      </w:r>
      <w:r w:rsidRPr="00925116">
        <w:rPr>
          <w:lang w:val="en-US"/>
        </w:rPr>
        <w:t>V2XSL Uu DRX impact to support SL</w:t>
      </w:r>
    </w:p>
    <w:bookmarkEnd w:id="20"/>
    <w:p w14:paraId="38CF02A8" w14:textId="18DF9A76" w:rsidR="00916097" w:rsidRPr="00B4038A" w:rsidRDefault="00925116" w:rsidP="00B4038A">
      <w:pPr>
        <w:rPr>
          <w:lang w:val="en-US"/>
        </w:rPr>
      </w:pPr>
      <w:r>
        <w:rPr>
          <w:lang w:val="en-US"/>
        </w:rPr>
        <w:t xml:space="preserve">[2]  </w:t>
      </w:r>
      <w:r w:rsidRPr="00925116">
        <w:rPr>
          <w:lang w:val="en-US"/>
        </w:rPr>
        <w:t>R2-2104472</w:t>
      </w:r>
      <w:r w:rsidRPr="00925116">
        <w:rPr>
          <w:lang w:val="en-US"/>
        </w:rPr>
        <w:tab/>
        <w:t>Summary of [706]</w:t>
      </w:r>
    </w:p>
    <w:sectPr w:rsidR="00916097" w:rsidRPr="00B4038A">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7897F" w14:textId="77777777" w:rsidR="00EA743A" w:rsidRDefault="00EA743A">
      <w:pPr>
        <w:spacing w:after="0"/>
      </w:pPr>
      <w:r>
        <w:separator/>
      </w:r>
    </w:p>
  </w:endnote>
  <w:endnote w:type="continuationSeparator" w:id="0">
    <w:p w14:paraId="0DB544D6" w14:textId="77777777" w:rsidR="00EA743A" w:rsidRDefault="00EA74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Batang">
    <w:altName w:val="¹?Å?"/>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µEI?"/>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9F43A7" w:rsidRDefault="009F43A7">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A981B" w14:textId="77777777" w:rsidR="00EA743A" w:rsidRDefault="00EA743A">
      <w:pPr>
        <w:spacing w:after="0"/>
      </w:pPr>
      <w:r>
        <w:separator/>
      </w:r>
    </w:p>
  </w:footnote>
  <w:footnote w:type="continuationSeparator" w:id="0">
    <w:p w14:paraId="288DDDA3" w14:textId="77777777" w:rsidR="00EA743A" w:rsidRDefault="00EA74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846ADE6"/>
    <w:multiLevelType w:val="singleLevel"/>
    <w:tmpl w:val="D846ADE6"/>
    <w:lvl w:ilvl="0">
      <w:start w:val="1"/>
      <w:numFmt w:val="decimal"/>
      <w:lvlText w:val="Proposal %1"/>
      <w:lvlJc w:val="left"/>
      <w:pPr>
        <w:tabs>
          <w:tab w:val="num" w:pos="420"/>
        </w:tabs>
        <w:ind w:left="850" w:hanging="425"/>
      </w:pPr>
      <w:rPr>
        <w:rFonts w:ascii="Arial" w:hAnsi="Arial" w:hint="default"/>
        <w:b/>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1A0930"/>
    <w:multiLevelType w:val="hybridMultilevel"/>
    <w:tmpl w:val="CE0A11D8"/>
    <w:lvl w:ilvl="0" w:tplc="341C6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B5A8A"/>
    <w:multiLevelType w:val="hybridMultilevel"/>
    <w:tmpl w:val="2DCEC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FB20F7"/>
    <w:multiLevelType w:val="hybridMultilevel"/>
    <w:tmpl w:val="983CD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25992"/>
    <w:multiLevelType w:val="hybridMultilevel"/>
    <w:tmpl w:val="5B040D88"/>
    <w:lvl w:ilvl="0" w:tplc="C634626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F10C2A"/>
    <w:multiLevelType w:val="hybridMultilevel"/>
    <w:tmpl w:val="B0D8BE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097156"/>
    <w:multiLevelType w:val="hybridMultilevel"/>
    <w:tmpl w:val="8FEE1D82"/>
    <w:lvl w:ilvl="0" w:tplc="A80C6476">
      <w:start w:val="1"/>
      <w:numFmt w:val="bullet"/>
      <w:lvlText w:val="−"/>
      <w:lvlJc w:val="left"/>
      <w:pPr>
        <w:ind w:left="720" w:hanging="360"/>
      </w:pPr>
      <w:rPr>
        <w:rFonts w:ascii="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680CD0"/>
    <w:multiLevelType w:val="hybridMultilevel"/>
    <w:tmpl w:val="846EF090"/>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A152EB"/>
    <w:multiLevelType w:val="hybridMultilevel"/>
    <w:tmpl w:val="46BAD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multilevel"/>
    <w:tmpl w:val="6E9601B8"/>
    <w:lvl w:ilvl="0">
      <w:start w:val="1"/>
      <w:numFmt w:val="decimal"/>
      <w:lvlText w:val="Proposal %1"/>
      <w:lvlJc w:val="left"/>
      <w:pPr>
        <w:tabs>
          <w:tab w:val="num" w:pos="2154"/>
        </w:tabs>
        <w:ind w:left="2154" w:hanging="1304"/>
      </w:pPr>
      <w:rPr>
        <w:rFonts w:ascii="Arial" w:hAnsi="Arial" w:hint="default"/>
        <w:b/>
      </w:rPr>
    </w:lvl>
    <w:lvl w:ilvl="1">
      <w:start w:val="1"/>
      <w:numFmt w:val="lowerLetter"/>
      <w:lvlText w:val="%2."/>
      <w:lvlJc w:val="left"/>
      <w:pPr>
        <w:tabs>
          <w:tab w:val="num" w:pos="-4231"/>
        </w:tabs>
        <w:ind w:left="-4231" w:hanging="360"/>
      </w:pPr>
    </w:lvl>
    <w:lvl w:ilvl="2">
      <w:start w:val="1"/>
      <w:numFmt w:val="lowerRoman"/>
      <w:lvlText w:val="%3."/>
      <w:lvlJc w:val="right"/>
      <w:pPr>
        <w:tabs>
          <w:tab w:val="num" w:pos="-3511"/>
        </w:tabs>
        <w:ind w:left="-3511" w:hanging="180"/>
      </w:pPr>
    </w:lvl>
    <w:lvl w:ilvl="3">
      <w:start w:val="1"/>
      <w:numFmt w:val="decimal"/>
      <w:lvlText w:val="%4."/>
      <w:lvlJc w:val="left"/>
      <w:pPr>
        <w:tabs>
          <w:tab w:val="num" w:pos="-2791"/>
        </w:tabs>
        <w:ind w:left="-2791" w:hanging="360"/>
      </w:pPr>
    </w:lvl>
    <w:lvl w:ilvl="4">
      <w:start w:val="1"/>
      <w:numFmt w:val="lowerLetter"/>
      <w:lvlText w:val="%5."/>
      <w:lvlJc w:val="left"/>
      <w:pPr>
        <w:tabs>
          <w:tab w:val="num" w:pos="-2071"/>
        </w:tabs>
        <w:ind w:left="-2071" w:hanging="360"/>
      </w:pPr>
    </w:lvl>
    <w:lvl w:ilvl="5">
      <w:start w:val="1"/>
      <w:numFmt w:val="lowerRoman"/>
      <w:lvlText w:val="%6."/>
      <w:lvlJc w:val="right"/>
      <w:pPr>
        <w:tabs>
          <w:tab w:val="num" w:pos="-1351"/>
        </w:tabs>
        <w:ind w:left="-1351" w:hanging="180"/>
      </w:pPr>
    </w:lvl>
    <w:lvl w:ilvl="6">
      <w:start w:val="1"/>
      <w:numFmt w:val="decimal"/>
      <w:lvlText w:val="%7."/>
      <w:lvlJc w:val="left"/>
      <w:pPr>
        <w:tabs>
          <w:tab w:val="num" w:pos="-631"/>
        </w:tabs>
        <w:ind w:left="-631" w:hanging="360"/>
      </w:pPr>
    </w:lvl>
    <w:lvl w:ilvl="7">
      <w:start w:val="1"/>
      <w:numFmt w:val="lowerLetter"/>
      <w:lvlText w:val="%8."/>
      <w:lvlJc w:val="left"/>
      <w:pPr>
        <w:tabs>
          <w:tab w:val="num" w:pos="89"/>
        </w:tabs>
        <w:ind w:left="89" w:hanging="360"/>
      </w:pPr>
    </w:lvl>
    <w:lvl w:ilvl="8">
      <w:start w:val="1"/>
      <w:numFmt w:val="lowerRoman"/>
      <w:lvlText w:val="%9."/>
      <w:lvlJc w:val="right"/>
      <w:pPr>
        <w:tabs>
          <w:tab w:val="num" w:pos="809"/>
        </w:tabs>
        <w:ind w:left="809" w:hanging="180"/>
      </w:pPr>
    </w:lvl>
  </w:abstractNum>
  <w:abstractNum w:abstractNumId="16"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A5043"/>
    <w:multiLevelType w:val="hybridMultilevel"/>
    <w:tmpl w:val="C0C02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6F2F4C"/>
    <w:multiLevelType w:val="hybridMultilevel"/>
    <w:tmpl w:val="3FD42D12"/>
    <w:lvl w:ilvl="0" w:tplc="0409000F">
      <w:start w:val="1"/>
      <w:numFmt w:val="decimal"/>
      <w:lvlText w:val="%1."/>
      <w:lvlJc w:val="left"/>
      <w:pPr>
        <w:ind w:left="845" w:hanging="420"/>
      </w:pPr>
      <w:rPr>
        <w:rFont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ACB192E"/>
    <w:multiLevelType w:val="hybridMultilevel"/>
    <w:tmpl w:val="0776937E"/>
    <w:lvl w:ilvl="0" w:tplc="A80C6476">
      <w:start w:val="1"/>
      <w:numFmt w:val="bullet"/>
      <w:lvlText w:val="−"/>
      <w:lvlJc w:val="left"/>
      <w:pPr>
        <w:ind w:left="420" w:hanging="420"/>
      </w:pPr>
      <w:rPr>
        <w:rFonts w:ascii="Calibri" w:hAnsi="Calibri" w:cs="Times New Roman"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86B6D"/>
    <w:multiLevelType w:val="hybridMultilevel"/>
    <w:tmpl w:val="28CEBDF8"/>
    <w:lvl w:ilvl="0" w:tplc="438CD55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2A3DDD"/>
    <w:multiLevelType w:val="hybridMultilevel"/>
    <w:tmpl w:val="231E8F90"/>
    <w:lvl w:ilvl="0" w:tplc="A80C6476">
      <w:start w:val="1"/>
      <w:numFmt w:val="bullet"/>
      <w:lvlText w:val="−"/>
      <w:lvlJc w:val="left"/>
      <w:pPr>
        <w:ind w:left="420" w:hanging="420"/>
      </w:pPr>
      <w:rPr>
        <w:rFonts w:ascii="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4" w15:restartNumberingAfterBreak="0">
    <w:nsid w:val="4EEC05F2"/>
    <w:multiLevelType w:val="multilevel"/>
    <w:tmpl w:val="87ECE66E"/>
    <w:lvl w:ilvl="0">
      <w:start w:val="1"/>
      <w:numFmt w:val="upperLetter"/>
      <w:lvlText w:val="%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26F4A732"/>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583A40"/>
    <w:multiLevelType w:val="hybridMultilevel"/>
    <w:tmpl w:val="C4F2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576994"/>
    <w:multiLevelType w:val="hybridMultilevel"/>
    <w:tmpl w:val="D2BAADAA"/>
    <w:lvl w:ilvl="0" w:tplc="0F1CF7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F67AE3"/>
    <w:multiLevelType w:val="hybridMultilevel"/>
    <w:tmpl w:val="EE92FDB6"/>
    <w:lvl w:ilvl="0" w:tplc="B6B6FD08">
      <w:start w:val="1"/>
      <w:numFmt w:val="decim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475B44"/>
    <w:multiLevelType w:val="hybridMultilevel"/>
    <w:tmpl w:val="61DEE416"/>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C818CD"/>
    <w:multiLevelType w:val="hybridMultilevel"/>
    <w:tmpl w:val="3FE82090"/>
    <w:lvl w:ilvl="0" w:tplc="7DD01C20">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678B3"/>
    <w:multiLevelType w:val="hybridMultilevel"/>
    <w:tmpl w:val="B7CA56BC"/>
    <w:lvl w:ilvl="0" w:tplc="CF5A483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E1B4A"/>
    <w:multiLevelType w:val="hybridMultilevel"/>
    <w:tmpl w:val="D1A2DD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967"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294C32"/>
    <w:multiLevelType w:val="hybridMultilevel"/>
    <w:tmpl w:val="C9CE7270"/>
    <w:lvl w:ilvl="0" w:tplc="E3D02EE8">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8C1987"/>
    <w:multiLevelType w:val="hybridMultilevel"/>
    <w:tmpl w:val="A62A0E14"/>
    <w:lvl w:ilvl="0" w:tplc="604E243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FD1BDD"/>
    <w:multiLevelType w:val="multilevel"/>
    <w:tmpl w:val="B10803FA"/>
    <w:lvl w:ilvl="0">
      <w:start w:val="1"/>
      <w:numFmt w:val="decimal"/>
      <w:lvlText w:val="%1."/>
      <w:lvlJc w:val="left"/>
      <w:pPr>
        <w:tabs>
          <w:tab w:val="num" w:pos="1871"/>
        </w:tabs>
        <w:ind w:left="1871" w:hanging="1304"/>
      </w:pPr>
      <w:rPr>
        <w:rFonts w:hint="eastAsia"/>
      </w:rPr>
    </w:lvl>
    <w:lvl w:ilvl="1">
      <w:start w:val="1"/>
      <w:numFmt w:val="lowerLetter"/>
      <w:lvlText w:val="%2."/>
      <w:lvlJc w:val="left"/>
      <w:pPr>
        <w:tabs>
          <w:tab w:val="num" w:pos="-4514"/>
        </w:tabs>
        <w:ind w:left="-4514" w:hanging="360"/>
      </w:pPr>
      <w:rPr>
        <w:rFonts w:hint="eastAsia"/>
      </w:rPr>
    </w:lvl>
    <w:lvl w:ilvl="2">
      <w:start w:val="1"/>
      <w:numFmt w:val="lowerRoman"/>
      <w:lvlText w:val="%3."/>
      <w:lvlJc w:val="right"/>
      <w:pPr>
        <w:tabs>
          <w:tab w:val="num" w:pos="-3794"/>
        </w:tabs>
        <w:ind w:left="-3794" w:hanging="180"/>
      </w:pPr>
      <w:rPr>
        <w:rFonts w:hint="eastAsia"/>
      </w:rPr>
    </w:lvl>
    <w:lvl w:ilvl="3">
      <w:start w:val="1"/>
      <w:numFmt w:val="decimal"/>
      <w:lvlText w:val="%4."/>
      <w:lvlJc w:val="left"/>
      <w:pPr>
        <w:tabs>
          <w:tab w:val="num" w:pos="-3074"/>
        </w:tabs>
        <w:ind w:left="-3074" w:hanging="360"/>
      </w:pPr>
      <w:rPr>
        <w:rFonts w:hint="eastAsia"/>
      </w:rPr>
    </w:lvl>
    <w:lvl w:ilvl="4">
      <w:start w:val="1"/>
      <w:numFmt w:val="lowerLetter"/>
      <w:lvlText w:val="%5."/>
      <w:lvlJc w:val="left"/>
      <w:pPr>
        <w:tabs>
          <w:tab w:val="num" w:pos="-2354"/>
        </w:tabs>
        <w:ind w:left="-2354" w:hanging="360"/>
      </w:pPr>
      <w:rPr>
        <w:rFonts w:hint="eastAsia"/>
      </w:rPr>
    </w:lvl>
    <w:lvl w:ilvl="5">
      <w:start w:val="1"/>
      <w:numFmt w:val="lowerRoman"/>
      <w:lvlText w:val="%6."/>
      <w:lvlJc w:val="right"/>
      <w:pPr>
        <w:tabs>
          <w:tab w:val="num" w:pos="-1634"/>
        </w:tabs>
        <w:ind w:left="-1634" w:hanging="180"/>
      </w:pPr>
      <w:rPr>
        <w:rFonts w:hint="eastAsia"/>
      </w:rPr>
    </w:lvl>
    <w:lvl w:ilvl="6">
      <w:start w:val="1"/>
      <w:numFmt w:val="decimal"/>
      <w:lvlText w:val="%7."/>
      <w:lvlJc w:val="left"/>
      <w:pPr>
        <w:tabs>
          <w:tab w:val="num" w:pos="-914"/>
        </w:tabs>
        <w:ind w:left="-914" w:hanging="360"/>
      </w:pPr>
      <w:rPr>
        <w:rFonts w:hint="eastAsia"/>
      </w:rPr>
    </w:lvl>
    <w:lvl w:ilvl="7">
      <w:start w:val="1"/>
      <w:numFmt w:val="lowerLetter"/>
      <w:lvlText w:val="%8."/>
      <w:lvlJc w:val="left"/>
      <w:pPr>
        <w:tabs>
          <w:tab w:val="num" w:pos="-194"/>
        </w:tabs>
        <w:ind w:left="-194" w:hanging="360"/>
      </w:pPr>
      <w:rPr>
        <w:rFonts w:hint="eastAsia"/>
      </w:rPr>
    </w:lvl>
    <w:lvl w:ilvl="8">
      <w:start w:val="1"/>
      <w:numFmt w:val="lowerRoman"/>
      <w:lvlText w:val="%9."/>
      <w:lvlJc w:val="right"/>
      <w:pPr>
        <w:tabs>
          <w:tab w:val="num" w:pos="526"/>
        </w:tabs>
        <w:ind w:left="526" w:hanging="180"/>
      </w:pPr>
      <w:rPr>
        <w:rFonts w:hint="eastAsia"/>
      </w:rPr>
    </w:lvl>
  </w:abstractNum>
  <w:abstractNum w:abstractNumId="4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CF4AA5"/>
    <w:multiLevelType w:val="hybridMultilevel"/>
    <w:tmpl w:val="B8C4DC9E"/>
    <w:lvl w:ilvl="0" w:tplc="A7F85B0E">
      <w:start w:val="1"/>
      <w:numFmt w:val="decimal"/>
      <w:pStyle w:val="Proposal"/>
      <w:lvlText w:val="Proposal %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0"/>
  </w:num>
  <w:num w:numId="3">
    <w:abstractNumId w:val="14"/>
  </w:num>
  <w:num w:numId="4">
    <w:abstractNumId w:val="17"/>
  </w:num>
  <w:num w:numId="5">
    <w:abstractNumId w:val="13"/>
  </w:num>
  <w:num w:numId="6">
    <w:abstractNumId w:val="16"/>
  </w:num>
  <w:num w:numId="7">
    <w:abstractNumId w:val="15"/>
  </w:num>
  <w:num w:numId="8">
    <w:abstractNumId w:val="27"/>
  </w:num>
  <w:num w:numId="9">
    <w:abstractNumId w:val="46"/>
  </w:num>
  <w:num w:numId="10">
    <w:abstractNumId w:val="28"/>
  </w:num>
  <w:num w:numId="11">
    <w:abstractNumId w:val="44"/>
  </w:num>
  <w:num w:numId="12">
    <w:abstractNumId w:val="25"/>
  </w:num>
  <w:num w:numId="13">
    <w:abstractNumId w:val="31"/>
  </w:num>
  <w:num w:numId="14">
    <w:abstractNumId w:val="38"/>
  </w:num>
  <w:num w:numId="15">
    <w:abstractNumId w:val="42"/>
  </w:num>
  <w:num w:numId="16">
    <w:abstractNumId w:val="2"/>
  </w:num>
  <w:num w:numId="17">
    <w:abstractNumId w:val="33"/>
  </w:num>
  <w:num w:numId="18">
    <w:abstractNumId w:val="24"/>
  </w:num>
  <w:num w:numId="19">
    <w:abstractNumId w:val="41"/>
  </w:num>
  <w:num w:numId="20">
    <w:abstractNumId w:val="11"/>
  </w:num>
  <w:num w:numId="21">
    <w:abstractNumId w:val="1"/>
  </w:num>
  <w:num w:numId="22">
    <w:abstractNumId w:val="5"/>
  </w:num>
  <w:num w:numId="23">
    <w:abstractNumId w:val="35"/>
  </w:num>
  <w:num w:numId="24">
    <w:abstractNumId w:val="40"/>
  </w:num>
  <w:num w:numId="25">
    <w:abstractNumId w:val="8"/>
  </w:num>
  <w:num w:numId="26">
    <w:abstractNumId w:val="1"/>
  </w:num>
  <w:num w:numId="27">
    <w:abstractNumId w:val="1"/>
  </w:num>
  <w:num w:numId="28">
    <w:abstractNumId w:val="1"/>
  </w:num>
  <w:num w:numId="29">
    <w:abstractNumId w:val="0"/>
  </w:num>
  <w:num w:numId="30">
    <w:abstractNumId w:val="27"/>
  </w:num>
  <w:num w:numId="31">
    <w:abstractNumId w:val="6"/>
  </w:num>
  <w:num w:numId="32">
    <w:abstractNumId w:val="6"/>
  </w:num>
  <w:num w:numId="33">
    <w:abstractNumId w:val="9"/>
  </w:num>
  <w:num w:numId="34">
    <w:abstractNumId w:val="7"/>
  </w:num>
  <w:num w:numId="35">
    <w:abstractNumId w:val="4"/>
  </w:num>
  <w:num w:numId="36">
    <w:abstractNumId w:val="36"/>
  </w:num>
  <w:num w:numId="37">
    <w:abstractNumId w:val="32"/>
  </w:num>
  <w:num w:numId="38">
    <w:abstractNumId w:val="43"/>
  </w:num>
  <w:num w:numId="39">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21"/>
  </w:num>
  <w:num w:numId="44">
    <w:abstractNumId w:val="27"/>
  </w:num>
  <w:num w:numId="45">
    <w:abstractNumId w:val="37"/>
  </w:num>
  <w:num w:numId="46">
    <w:abstractNumId w:val="45"/>
  </w:num>
  <w:num w:numId="47">
    <w:abstractNumId w:val="45"/>
  </w:num>
  <w:num w:numId="48">
    <w:abstractNumId w:val="27"/>
  </w:num>
  <w:num w:numId="49">
    <w:abstractNumId w:val="20"/>
  </w:num>
  <w:num w:numId="50">
    <w:abstractNumId w:val="10"/>
  </w:num>
  <w:num w:numId="51">
    <w:abstractNumId w:val="45"/>
  </w:num>
  <w:num w:numId="52">
    <w:abstractNumId w:val="19"/>
  </w:num>
  <w:num w:numId="53">
    <w:abstractNumId w:val="3"/>
  </w:num>
  <w:num w:numId="54">
    <w:abstractNumId w:val="29"/>
  </w:num>
  <w:num w:numId="55">
    <w:abstractNumId w:val="26"/>
  </w:num>
  <w:num w:numId="56">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9"/>
  </w:num>
  <w:num w:numId="58">
    <w:abstractNumId w:val="34"/>
  </w:num>
  <w:num w:numId="59">
    <w:abstractNumId w:val="12"/>
  </w:num>
  <w:num w:numId="60">
    <w:abstractNumId w:val="18"/>
  </w:num>
  <w:num w:numId="61">
    <w:abstractNumId w:val="27"/>
  </w:num>
  <w:num w:numId="62">
    <w:abstractNumId w:val="27"/>
  </w:num>
  <w:num w:numId="63">
    <w:abstractNumId w:val="45"/>
  </w:num>
  <w:num w:numId="64">
    <w:abstractNumId w:val="45"/>
  </w:num>
  <w:num w:numId="65">
    <w:abstractNumId w:val="4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sFAClznn8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0DA"/>
    <w:rsid w:val="00024B4B"/>
    <w:rsid w:val="0002564D"/>
    <w:rsid w:val="00025BEC"/>
    <w:rsid w:val="00025ECA"/>
    <w:rsid w:val="00027020"/>
    <w:rsid w:val="00031003"/>
    <w:rsid w:val="000325B8"/>
    <w:rsid w:val="00032EFB"/>
    <w:rsid w:val="000330CF"/>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6F59"/>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1807"/>
    <w:rsid w:val="000924C1"/>
    <w:rsid w:val="000924F0"/>
    <w:rsid w:val="00092F5F"/>
    <w:rsid w:val="00093474"/>
    <w:rsid w:val="000934A5"/>
    <w:rsid w:val="000944CB"/>
    <w:rsid w:val="00094510"/>
    <w:rsid w:val="00094586"/>
    <w:rsid w:val="0009493B"/>
    <w:rsid w:val="00094D0E"/>
    <w:rsid w:val="0009510F"/>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6A5D"/>
    <w:rsid w:val="000B70FB"/>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2BBE"/>
    <w:rsid w:val="000E333E"/>
    <w:rsid w:val="000E38A5"/>
    <w:rsid w:val="000E4DDF"/>
    <w:rsid w:val="000E5D4A"/>
    <w:rsid w:val="000E69F5"/>
    <w:rsid w:val="000E6AED"/>
    <w:rsid w:val="000E711D"/>
    <w:rsid w:val="000F06D6"/>
    <w:rsid w:val="000F09D6"/>
    <w:rsid w:val="000F0EB1"/>
    <w:rsid w:val="000F1104"/>
    <w:rsid w:val="000F1106"/>
    <w:rsid w:val="000F3452"/>
    <w:rsid w:val="000F3AF8"/>
    <w:rsid w:val="000F3BE9"/>
    <w:rsid w:val="000F3F6C"/>
    <w:rsid w:val="000F5EBB"/>
    <w:rsid w:val="000F5F6C"/>
    <w:rsid w:val="000F620F"/>
    <w:rsid w:val="000F636E"/>
    <w:rsid w:val="000F637A"/>
    <w:rsid w:val="000F6402"/>
    <w:rsid w:val="000F6DF3"/>
    <w:rsid w:val="000F7E6B"/>
    <w:rsid w:val="001004B6"/>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04DB"/>
    <w:rsid w:val="0018143F"/>
    <w:rsid w:val="00182AC3"/>
    <w:rsid w:val="00183C22"/>
    <w:rsid w:val="00184F28"/>
    <w:rsid w:val="00185040"/>
    <w:rsid w:val="001878ED"/>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7AED"/>
    <w:rsid w:val="001F0CCF"/>
    <w:rsid w:val="001F3916"/>
    <w:rsid w:val="001F3DC2"/>
    <w:rsid w:val="001F54C5"/>
    <w:rsid w:val="001F6031"/>
    <w:rsid w:val="001F6452"/>
    <w:rsid w:val="001F6554"/>
    <w:rsid w:val="001F662C"/>
    <w:rsid w:val="001F7074"/>
    <w:rsid w:val="001F780C"/>
    <w:rsid w:val="001F7A7C"/>
    <w:rsid w:val="00200490"/>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77606"/>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18B7"/>
    <w:rsid w:val="00291C83"/>
    <w:rsid w:val="00291DA6"/>
    <w:rsid w:val="00292EB7"/>
    <w:rsid w:val="002932C8"/>
    <w:rsid w:val="002941BF"/>
    <w:rsid w:val="0029477E"/>
    <w:rsid w:val="00294AD9"/>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D71"/>
    <w:rsid w:val="002C0F8B"/>
    <w:rsid w:val="002C3EF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2FBF"/>
    <w:rsid w:val="0030313B"/>
    <w:rsid w:val="003034C3"/>
    <w:rsid w:val="0030389B"/>
    <w:rsid w:val="003048D2"/>
    <w:rsid w:val="00304BD0"/>
    <w:rsid w:val="0030501F"/>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5DEA"/>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4C9A"/>
    <w:rsid w:val="00354EB9"/>
    <w:rsid w:val="00355B45"/>
    <w:rsid w:val="00357380"/>
    <w:rsid w:val="00357B46"/>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6B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E94"/>
    <w:rsid w:val="00444164"/>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07E1"/>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413F"/>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819"/>
    <w:rsid w:val="00530643"/>
    <w:rsid w:val="00530B50"/>
    <w:rsid w:val="00531CB4"/>
    <w:rsid w:val="00532C47"/>
    <w:rsid w:val="0053371E"/>
    <w:rsid w:val="00533836"/>
    <w:rsid w:val="00534B28"/>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52B0"/>
    <w:rsid w:val="00565CF0"/>
    <w:rsid w:val="005662A3"/>
    <w:rsid w:val="00566D80"/>
    <w:rsid w:val="00567261"/>
    <w:rsid w:val="00567457"/>
    <w:rsid w:val="00567605"/>
    <w:rsid w:val="00567847"/>
    <w:rsid w:val="00567FDE"/>
    <w:rsid w:val="00570A38"/>
    <w:rsid w:val="0057126F"/>
    <w:rsid w:val="00571C38"/>
    <w:rsid w:val="00571FB9"/>
    <w:rsid w:val="00572505"/>
    <w:rsid w:val="00572E90"/>
    <w:rsid w:val="00574AA9"/>
    <w:rsid w:val="005762A2"/>
    <w:rsid w:val="0057664C"/>
    <w:rsid w:val="00577CAD"/>
    <w:rsid w:val="00582809"/>
    <w:rsid w:val="00582CB2"/>
    <w:rsid w:val="00583F87"/>
    <w:rsid w:val="00584D30"/>
    <w:rsid w:val="00585C92"/>
    <w:rsid w:val="0058798C"/>
    <w:rsid w:val="005900FA"/>
    <w:rsid w:val="005906E9"/>
    <w:rsid w:val="00590FC0"/>
    <w:rsid w:val="00591036"/>
    <w:rsid w:val="0059144C"/>
    <w:rsid w:val="005935A4"/>
    <w:rsid w:val="005936B4"/>
    <w:rsid w:val="005938FF"/>
    <w:rsid w:val="005940BC"/>
    <w:rsid w:val="0059432C"/>
    <w:rsid w:val="005948C2"/>
    <w:rsid w:val="00594977"/>
    <w:rsid w:val="00595036"/>
    <w:rsid w:val="00595DCA"/>
    <w:rsid w:val="00596174"/>
    <w:rsid w:val="00596293"/>
    <w:rsid w:val="005975B0"/>
    <w:rsid w:val="0059779B"/>
    <w:rsid w:val="00597CD4"/>
    <w:rsid w:val="00597EED"/>
    <w:rsid w:val="005A011C"/>
    <w:rsid w:val="005A209A"/>
    <w:rsid w:val="005A29FD"/>
    <w:rsid w:val="005A4EB7"/>
    <w:rsid w:val="005A5149"/>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1A97"/>
    <w:rsid w:val="005C2B6C"/>
    <w:rsid w:val="005C3B16"/>
    <w:rsid w:val="005C49DE"/>
    <w:rsid w:val="005C4FAF"/>
    <w:rsid w:val="005C58E5"/>
    <w:rsid w:val="005C5C7E"/>
    <w:rsid w:val="005C64A5"/>
    <w:rsid w:val="005C6F97"/>
    <w:rsid w:val="005C74FB"/>
    <w:rsid w:val="005D1602"/>
    <w:rsid w:val="005D1F7E"/>
    <w:rsid w:val="005D2D1D"/>
    <w:rsid w:val="005D3793"/>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89F"/>
    <w:rsid w:val="00685AF4"/>
    <w:rsid w:val="00687953"/>
    <w:rsid w:val="0069050F"/>
    <w:rsid w:val="00690824"/>
    <w:rsid w:val="006918E0"/>
    <w:rsid w:val="00691AC8"/>
    <w:rsid w:val="0069337E"/>
    <w:rsid w:val="006957CF"/>
    <w:rsid w:val="00695FC2"/>
    <w:rsid w:val="00696391"/>
    <w:rsid w:val="00696949"/>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0AD8"/>
    <w:rsid w:val="006C1DB4"/>
    <w:rsid w:val="006C22F4"/>
    <w:rsid w:val="006C380A"/>
    <w:rsid w:val="006C49AF"/>
    <w:rsid w:val="006C5D23"/>
    <w:rsid w:val="006C5EC9"/>
    <w:rsid w:val="006C6028"/>
    <w:rsid w:val="006C6059"/>
    <w:rsid w:val="006C6949"/>
    <w:rsid w:val="006C7522"/>
    <w:rsid w:val="006C79D7"/>
    <w:rsid w:val="006D04D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20A0"/>
    <w:rsid w:val="0070346E"/>
    <w:rsid w:val="00703909"/>
    <w:rsid w:val="00703CA3"/>
    <w:rsid w:val="00704EDB"/>
    <w:rsid w:val="00706101"/>
    <w:rsid w:val="00707072"/>
    <w:rsid w:val="0070714D"/>
    <w:rsid w:val="00707D61"/>
    <w:rsid w:val="00710EE5"/>
    <w:rsid w:val="00711CB9"/>
    <w:rsid w:val="00712287"/>
    <w:rsid w:val="00712772"/>
    <w:rsid w:val="00712EA9"/>
    <w:rsid w:val="00713AEA"/>
    <w:rsid w:val="00713D85"/>
    <w:rsid w:val="00713DFC"/>
    <w:rsid w:val="007148D3"/>
    <w:rsid w:val="0071523C"/>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215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A0643"/>
    <w:rsid w:val="007A09C9"/>
    <w:rsid w:val="007A0A61"/>
    <w:rsid w:val="007A1293"/>
    <w:rsid w:val="007A1784"/>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36E1"/>
    <w:rsid w:val="007D3FB6"/>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65BC"/>
    <w:rsid w:val="007E7091"/>
    <w:rsid w:val="007E736D"/>
    <w:rsid w:val="007E7F7C"/>
    <w:rsid w:val="007F22C6"/>
    <w:rsid w:val="007F3D18"/>
    <w:rsid w:val="007F427F"/>
    <w:rsid w:val="007F4E3D"/>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47F4D"/>
    <w:rsid w:val="00850585"/>
    <w:rsid w:val="008516F5"/>
    <w:rsid w:val="008528D8"/>
    <w:rsid w:val="00853FD9"/>
    <w:rsid w:val="0085566A"/>
    <w:rsid w:val="00855A9E"/>
    <w:rsid w:val="00856911"/>
    <w:rsid w:val="00856F80"/>
    <w:rsid w:val="008571C1"/>
    <w:rsid w:val="00857F50"/>
    <w:rsid w:val="008617AC"/>
    <w:rsid w:val="0086247C"/>
    <w:rsid w:val="0086318D"/>
    <w:rsid w:val="0086435A"/>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6E8D"/>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0B8D"/>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6059"/>
    <w:rsid w:val="00987C96"/>
    <w:rsid w:val="00990630"/>
    <w:rsid w:val="00990B76"/>
    <w:rsid w:val="00990CCD"/>
    <w:rsid w:val="00990DCB"/>
    <w:rsid w:val="00991761"/>
    <w:rsid w:val="00991887"/>
    <w:rsid w:val="009921D3"/>
    <w:rsid w:val="00993193"/>
    <w:rsid w:val="00994333"/>
    <w:rsid w:val="00994B72"/>
    <w:rsid w:val="00994DCA"/>
    <w:rsid w:val="00994FE9"/>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0794"/>
    <w:rsid w:val="009C24C8"/>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3A7"/>
    <w:rsid w:val="009F4D4A"/>
    <w:rsid w:val="009F52D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62B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4D48"/>
    <w:rsid w:val="00A55067"/>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301"/>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7A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9A5"/>
    <w:rsid w:val="00B27AAC"/>
    <w:rsid w:val="00B27BF7"/>
    <w:rsid w:val="00B30065"/>
    <w:rsid w:val="00B30929"/>
    <w:rsid w:val="00B33012"/>
    <w:rsid w:val="00B3411D"/>
    <w:rsid w:val="00B342DC"/>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1138"/>
    <w:rsid w:val="00B61834"/>
    <w:rsid w:val="00B6253B"/>
    <w:rsid w:val="00B62DDF"/>
    <w:rsid w:val="00B6329B"/>
    <w:rsid w:val="00B63A04"/>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2280"/>
    <w:rsid w:val="00BA2437"/>
    <w:rsid w:val="00BA2A08"/>
    <w:rsid w:val="00BA2A57"/>
    <w:rsid w:val="00BA3073"/>
    <w:rsid w:val="00BA371C"/>
    <w:rsid w:val="00BA56D2"/>
    <w:rsid w:val="00BA5B3F"/>
    <w:rsid w:val="00BA633A"/>
    <w:rsid w:val="00BA76E0"/>
    <w:rsid w:val="00BA7F84"/>
    <w:rsid w:val="00BB0DE1"/>
    <w:rsid w:val="00BB2992"/>
    <w:rsid w:val="00BB29F5"/>
    <w:rsid w:val="00BB2A25"/>
    <w:rsid w:val="00BB3F1D"/>
    <w:rsid w:val="00BB4398"/>
    <w:rsid w:val="00BB51E9"/>
    <w:rsid w:val="00BB5956"/>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47B"/>
    <w:rsid w:val="00BF12EE"/>
    <w:rsid w:val="00BF1596"/>
    <w:rsid w:val="00BF270C"/>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1C42"/>
    <w:rsid w:val="00C431FC"/>
    <w:rsid w:val="00C45066"/>
    <w:rsid w:val="00C47623"/>
    <w:rsid w:val="00C4795B"/>
    <w:rsid w:val="00C50227"/>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5D2F"/>
    <w:rsid w:val="00C767BE"/>
    <w:rsid w:val="00C76E3C"/>
    <w:rsid w:val="00C81568"/>
    <w:rsid w:val="00C8174F"/>
    <w:rsid w:val="00C81EAC"/>
    <w:rsid w:val="00C8359D"/>
    <w:rsid w:val="00C83DA8"/>
    <w:rsid w:val="00C83F26"/>
    <w:rsid w:val="00C84654"/>
    <w:rsid w:val="00C860AA"/>
    <w:rsid w:val="00C8682D"/>
    <w:rsid w:val="00C9027A"/>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ED8"/>
    <w:rsid w:val="00CA22E1"/>
    <w:rsid w:val="00CA293D"/>
    <w:rsid w:val="00CA2A99"/>
    <w:rsid w:val="00CA2A9A"/>
    <w:rsid w:val="00CA33F2"/>
    <w:rsid w:val="00CA395E"/>
    <w:rsid w:val="00CA4BBD"/>
    <w:rsid w:val="00CA5609"/>
    <w:rsid w:val="00CA5A73"/>
    <w:rsid w:val="00CB00AD"/>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6D92"/>
    <w:rsid w:val="00CC7B45"/>
    <w:rsid w:val="00CC7F71"/>
    <w:rsid w:val="00CD0A37"/>
    <w:rsid w:val="00CD1188"/>
    <w:rsid w:val="00CD2ED1"/>
    <w:rsid w:val="00CD337B"/>
    <w:rsid w:val="00CD4628"/>
    <w:rsid w:val="00CD67BA"/>
    <w:rsid w:val="00CD6F1E"/>
    <w:rsid w:val="00CE02DA"/>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61A8"/>
    <w:rsid w:val="00D264CB"/>
    <w:rsid w:val="00D272FE"/>
    <w:rsid w:val="00D3041F"/>
    <w:rsid w:val="00D30F7A"/>
    <w:rsid w:val="00D312DB"/>
    <w:rsid w:val="00D31A61"/>
    <w:rsid w:val="00D31AB5"/>
    <w:rsid w:val="00D3297E"/>
    <w:rsid w:val="00D32D64"/>
    <w:rsid w:val="00D33546"/>
    <w:rsid w:val="00D34123"/>
    <w:rsid w:val="00D3412C"/>
    <w:rsid w:val="00D34253"/>
    <w:rsid w:val="00D349E6"/>
    <w:rsid w:val="00D34B14"/>
    <w:rsid w:val="00D34DFB"/>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538"/>
    <w:rsid w:val="00D61AF5"/>
    <w:rsid w:val="00D63714"/>
    <w:rsid w:val="00D640DA"/>
    <w:rsid w:val="00D652B5"/>
    <w:rsid w:val="00D65796"/>
    <w:rsid w:val="00D65F70"/>
    <w:rsid w:val="00D66155"/>
    <w:rsid w:val="00D669C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E99"/>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69E4"/>
    <w:rsid w:val="00E47AEF"/>
    <w:rsid w:val="00E500D0"/>
    <w:rsid w:val="00E51DEE"/>
    <w:rsid w:val="00E52125"/>
    <w:rsid w:val="00E525F8"/>
    <w:rsid w:val="00E53B75"/>
    <w:rsid w:val="00E54E3B"/>
    <w:rsid w:val="00E55681"/>
    <w:rsid w:val="00E57532"/>
    <w:rsid w:val="00E57565"/>
    <w:rsid w:val="00E577A3"/>
    <w:rsid w:val="00E57BCB"/>
    <w:rsid w:val="00E61D41"/>
    <w:rsid w:val="00E63838"/>
    <w:rsid w:val="00E64434"/>
    <w:rsid w:val="00E6645E"/>
    <w:rsid w:val="00E67C51"/>
    <w:rsid w:val="00E70446"/>
    <w:rsid w:val="00E70887"/>
    <w:rsid w:val="00E71DAD"/>
    <w:rsid w:val="00E7233A"/>
    <w:rsid w:val="00E72EFC"/>
    <w:rsid w:val="00E7418E"/>
    <w:rsid w:val="00E7476F"/>
    <w:rsid w:val="00E74A8B"/>
    <w:rsid w:val="00E74EF5"/>
    <w:rsid w:val="00E758EC"/>
    <w:rsid w:val="00E761E0"/>
    <w:rsid w:val="00E76517"/>
    <w:rsid w:val="00E768EA"/>
    <w:rsid w:val="00E76AA8"/>
    <w:rsid w:val="00E76B2B"/>
    <w:rsid w:val="00E7721C"/>
    <w:rsid w:val="00E774DD"/>
    <w:rsid w:val="00E80BFF"/>
    <w:rsid w:val="00E8234C"/>
    <w:rsid w:val="00E82DEF"/>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9CF"/>
    <w:rsid w:val="00E95F1C"/>
    <w:rsid w:val="00E96A1C"/>
    <w:rsid w:val="00E96B49"/>
    <w:rsid w:val="00E96F75"/>
    <w:rsid w:val="00E97612"/>
    <w:rsid w:val="00E97AFB"/>
    <w:rsid w:val="00EA005D"/>
    <w:rsid w:val="00EA243A"/>
    <w:rsid w:val="00EA2574"/>
    <w:rsid w:val="00EA2EE5"/>
    <w:rsid w:val="00EA2F5B"/>
    <w:rsid w:val="00EA49DF"/>
    <w:rsid w:val="00EA5FF7"/>
    <w:rsid w:val="00EA632D"/>
    <w:rsid w:val="00EA6ED4"/>
    <w:rsid w:val="00EA743A"/>
    <w:rsid w:val="00EA7A41"/>
    <w:rsid w:val="00EB077B"/>
    <w:rsid w:val="00EB1D21"/>
    <w:rsid w:val="00EB2442"/>
    <w:rsid w:val="00EB399E"/>
    <w:rsid w:val="00EB4EA2"/>
    <w:rsid w:val="00EB50BE"/>
    <w:rsid w:val="00EB71EA"/>
    <w:rsid w:val="00EB7BFD"/>
    <w:rsid w:val="00EC08EA"/>
    <w:rsid w:val="00EC27C6"/>
    <w:rsid w:val="00EC29A7"/>
    <w:rsid w:val="00EC2F7B"/>
    <w:rsid w:val="00EC3566"/>
    <w:rsid w:val="00EC36BF"/>
    <w:rsid w:val="00EC4207"/>
    <w:rsid w:val="00EC46AB"/>
    <w:rsid w:val="00EC5653"/>
    <w:rsid w:val="00EC616F"/>
    <w:rsid w:val="00EC71CE"/>
    <w:rsid w:val="00EC740B"/>
    <w:rsid w:val="00ED0393"/>
    <w:rsid w:val="00ED1006"/>
    <w:rsid w:val="00ED1895"/>
    <w:rsid w:val="00ED42B3"/>
    <w:rsid w:val="00ED4D1B"/>
    <w:rsid w:val="00ED5012"/>
    <w:rsid w:val="00ED51BF"/>
    <w:rsid w:val="00ED51DE"/>
    <w:rsid w:val="00ED5A72"/>
    <w:rsid w:val="00ED6AF6"/>
    <w:rsid w:val="00ED7454"/>
    <w:rsid w:val="00EE1F8F"/>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50A7"/>
    <w:rsid w:val="00F1546E"/>
    <w:rsid w:val="00F15FA5"/>
    <w:rsid w:val="00F16C0F"/>
    <w:rsid w:val="00F16CDF"/>
    <w:rsid w:val="00F17B47"/>
    <w:rsid w:val="00F2024F"/>
    <w:rsid w:val="00F20600"/>
    <w:rsid w:val="00F209B7"/>
    <w:rsid w:val="00F2215B"/>
    <w:rsid w:val="00F226FF"/>
    <w:rsid w:val="00F22B70"/>
    <w:rsid w:val="00F231FE"/>
    <w:rsid w:val="00F23200"/>
    <w:rsid w:val="00F2345B"/>
    <w:rsid w:val="00F236BD"/>
    <w:rsid w:val="00F2376F"/>
    <w:rsid w:val="00F2388F"/>
    <w:rsid w:val="00F243D8"/>
    <w:rsid w:val="00F25C10"/>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F69"/>
    <w:rsid w:val="00F72AFA"/>
    <w:rsid w:val="00F72B72"/>
    <w:rsid w:val="00F72B7D"/>
    <w:rsid w:val="00F72CEC"/>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4F6"/>
    <w:rsid w:val="00F96985"/>
    <w:rsid w:val="00F96BB8"/>
    <w:rsid w:val="00F97838"/>
    <w:rsid w:val="00F97C2B"/>
    <w:rsid w:val="00FA0390"/>
    <w:rsid w:val="00FA0E1D"/>
    <w:rsid w:val="00FA2776"/>
    <w:rsid w:val="00FA2BB3"/>
    <w:rsid w:val="00FA2C50"/>
    <w:rsid w:val="00FA2E5B"/>
    <w:rsid w:val="00FA3AAA"/>
    <w:rsid w:val="00FA446D"/>
    <w:rsid w:val="00FA50EC"/>
    <w:rsid w:val="00FA6713"/>
    <w:rsid w:val="00FA794B"/>
    <w:rsid w:val="00FB034E"/>
    <w:rsid w:val="00FB0489"/>
    <w:rsid w:val="00FB18CB"/>
    <w:rsid w:val="00FB1DC8"/>
    <w:rsid w:val="00FB2D95"/>
    <w:rsid w:val="00FB44C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列"/>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40"/>
      </w:num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e">
    <w:name w:val="Placeholder Text"/>
    <w:basedOn w:val="a1"/>
    <w:uiPriority w:val="99"/>
    <w:unhideWhenUsed/>
    <w:rsid w:val="00926D47"/>
    <w:rPr>
      <w:color w:val="808080"/>
    </w:rPr>
  </w:style>
  <w:style w:type="numbering" w:customStyle="1" w:styleId="StyleBulleted">
    <w:name w:val="Style Bulleted"/>
    <w:rsid w:val="00D33546"/>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276018-4A9A-48C0-9EC3-FA315E877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242</TotalTime>
  <Pages>5</Pages>
  <Words>1369</Words>
  <Characters>7807</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9158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冷冰雪(Bingxue Leng)</cp:lastModifiedBy>
  <cp:revision>13</cp:revision>
  <cp:lastPrinted>2008-01-31T16:09:00Z</cp:lastPrinted>
  <dcterms:created xsi:type="dcterms:W3CDTF">2021-05-06T01:49:00Z</dcterms:created>
  <dcterms:modified xsi:type="dcterms:W3CDTF">2021-05-11T02:50:00Z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